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76AD58C6">
      <w:pPr>
        <w:keepNext/>
        <w:keepLines/>
        <w:spacing w:before="260" w:after="260" w:line="416" w:lineRule="atLeast"/>
        <w:jc w:val="both"/>
        <w:outlineLvl w:val="1"/>
        <w:rPr>
          <w:rFonts w:hint="eastAsia" w:ascii="Times New Roman" w:hAnsi="Times New Roman"/>
          <w:b/>
          <w:bCs/>
          <w:sz w:val="28"/>
          <w:szCs w:val="28"/>
        </w:rPr>
      </w:pPr>
    </w:p>
    <w:p w14:paraId="5FA1605D">
      <w:pPr>
        <w:keepNext w:val="0"/>
        <w:keepLines w:val="0"/>
        <w:pageBreakBefore w:val="0"/>
        <w:widowControl w:val="0"/>
        <w:kinsoku/>
        <w:wordWrap/>
        <w:overflowPunct/>
        <w:topLinePunct w:val="0"/>
        <w:autoSpaceDE/>
        <w:autoSpaceDN/>
        <w:bidi w:val="0"/>
        <w:adjustRightInd/>
        <w:snapToGrid/>
        <w:spacing w:line="1440" w:lineRule="exact"/>
        <w:jc w:val="distribute"/>
        <w:textAlignment w:val="auto"/>
        <w:rPr>
          <w:rFonts w:hint="eastAsia" w:ascii="Times New Roman" w:hAnsi="Times New Roman"/>
          <w:b/>
          <w:bCs/>
          <w:sz w:val="30"/>
          <w:szCs w:val="30"/>
          <w:lang w:val="en-US" w:eastAsia="zh-CN"/>
        </w:rPr>
      </w:pPr>
      <w:r>
        <w:rPr>
          <w:rFonts w:hint="eastAsia" w:ascii="思源宋体 CN Heavy" w:hAnsi="思源宋体 CN Heavy" w:eastAsia="思源宋体 CN Heavy" w:cs="思源宋体 CN Heavy"/>
          <w:b/>
          <w:bCs/>
          <w:snapToGrid w:val="0"/>
          <w:color w:val="6C69DC"/>
          <w:kern w:val="0"/>
          <w:sz w:val="100"/>
          <w:szCs w:val="100"/>
          <w14:shadow w14:blurRad="50800" w14:dist="38100" w14:dir="2700000" w14:sx="100000" w14:sy="100000" w14:kx="0" w14:ky="0" w14:algn="tl">
            <w14:srgbClr w14:val="000000">
              <w14:alpha w14:val="90000"/>
            </w14:srgbClr>
          </w14:shadow>
        </w:rPr>
        <w:t>《老年人营养膳食与保健》</w:t>
      </w:r>
    </w:p>
    <w:p w14:paraId="72DD4894">
      <w:pPr>
        <w:keepNext/>
        <w:keepLines/>
        <w:spacing w:before="260" w:after="260" w:line="240" w:lineRule="auto"/>
        <w:jc w:val="center"/>
        <w:outlineLvl w:val="1"/>
        <w:rPr>
          <w:rFonts w:hint="default" w:ascii="Times New Roman" w:hAnsi="Times New Roman" w:eastAsia="宋体"/>
          <w:b/>
          <w:bCs/>
          <w:sz w:val="21"/>
          <w:szCs w:val="21"/>
          <w:lang w:val="en-US" w:eastAsia="zh-CN"/>
        </w:rPr>
      </w:pPr>
    </w:p>
    <w:p w14:paraId="5E81C5F3">
      <w:pPr>
        <w:keepNext/>
        <w:keepLines/>
        <w:spacing w:before="260" w:after="260" w:line="240" w:lineRule="auto"/>
        <w:jc w:val="center"/>
        <w:outlineLvl w:val="1"/>
        <w:rPr>
          <w:rFonts w:hint="eastAsia" w:ascii="Times New Roman" w:hAnsi="Times New Roman"/>
          <w:b/>
          <w:bCs/>
          <w:sz w:val="21"/>
          <w:szCs w:val="21"/>
        </w:rPr>
      </w:pPr>
    </w:p>
    <w:p w14:paraId="412EDB9B">
      <w:pPr>
        <w:keepNext/>
        <w:keepLines/>
        <w:spacing w:before="260" w:after="260" w:line="240" w:lineRule="auto"/>
        <w:jc w:val="center"/>
        <w:outlineLvl w:val="1"/>
        <w:rPr>
          <w:rFonts w:hint="eastAsia" w:ascii="Times New Roman" w:hAnsi="Times New Roman"/>
          <w:b/>
          <w:bCs/>
          <w:sz w:val="21"/>
          <w:szCs w:val="21"/>
        </w:rPr>
      </w:pPr>
    </w:p>
    <w:p w14:paraId="1DE0F138">
      <w:pPr>
        <w:keepNext/>
        <w:keepLines/>
        <w:spacing w:before="260" w:after="260" w:line="240" w:lineRule="auto"/>
        <w:jc w:val="center"/>
        <w:outlineLvl w:val="1"/>
        <w:rPr>
          <w:rFonts w:hint="eastAsia" w:ascii="Times New Roman" w:hAnsi="Times New Roman"/>
          <w:b/>
          <w:bCs/>
          <w:sz w:val="21"/>
          <w:szCs w:val="21"/>
        </w:rPr>
      </w:pPr>
    </w:p>
    <w:p w14:paraId="7F875E9A">
      <w:pPr>
        <w:keepNext/>
        <w:keepLines/>
        <w:spacing w:before="260" w:after="260" w:line="240" w:lineRule="auto"/>
        <w:jc w:val="center"/>
        <w:outlineLvl w:val="1"/>
        <w:rPr>
          <w:rFonts w:hint="eastAsia" w:ascii="Times New Roman" w:hAnsi="Times New Roman"/>
          <w:b/>
          <w:bCs/>
          <w:sz w:val="21"/>
          <w:szCs w:val="21"/>
        </w:rPr>
      </w:pPr>
    </w:p>
    <w:p w14:paraId="25768923">
      <w:pPr>
        <w:keepNext/>
        <w:keepLines/>
        <w:spacing w:before="260" w:after="260" w:line="240" w:lineRule="auto"/>
        <w:jc w:val="center"/>
        <w:outlineLvl w:val="1"/>
        <w:rPr>
          <w:rFonts w:hint="eastAsia" w:ascii="Times New Roman" w:hAnsi="Times New Roman"/>
          <w:b/>
          <w:bCs/>
          <w:sz w:val="21"/>
          <w:szCs w:val="21"/>
        </w:rPr>
      </w:pPr>
    </w:p>
    <w:p w14:paraId="7B0338A8">
      <w:pPr>
        <w:keepNext/>
        <w:keepLines/>
        <w:spacing w:before="260" w:after="260" w:line="240" w:lineRule="auto"/>
        <w:jc w:val="center"/>
        <w:outlineLvl w:val="1"/>
        <w:rPr>
          <w:rFonts w:hint="eastAsia" w:ascii="Times New Roman" w:hAnsi="Times New Roman"/>
          <w:b/>
          <w:bCs/>
          <w:sz w:val="21"/>
          <w:szCs w:val="21"/>
        </w:rPr>
      </w:pPr>
    </w:p>
    <w:p w14:paraId="00F1166D">
      <w:pPr>
        <w:keepNext/>
        <w:keepLines/>
        <w:spacing w:before="260" w:after="260" w:line="240" w:lineRule="auto"/>
        <w:jc w:val="center"/>
        <w:outlineLvl w:val="1"/>
        <w:rPr>
          <w:rFonts w:hint="eastAsia" w:ascii="Times New Roman" w:hAnsi="Times New Roman"/>
          <w:b/>
          <w:bCs/>
          <w:sz w:val="21"/>
          <w:szCs w:val="21"/>
        </w:rPr>
      </w:pPr>
    </w:p>
    <w:p w14:paraId="23BA17FF">
      <w:pPr>
        <w:keepNext/>
        <w:keepLines/>
        <w:spacing w:before="260" w:after="260" w:line="240" w:lineRule="auto"/>
        <w:jc w:val="center"/>
        <w:outlineLvl w:val="1"/>
        <w:rPr>
          <w:rFonts w:hint="eastAsia" w:ascii="Times New Roman" w:hAnsi="Times New Roman"/>
          <w:b/>
          <w:bCs/>
          <w:sz w:val="21"/>
          <w:szCs w:val="21"/>
        </w:rPr>
      </w:pPr>
    </w:p>
    <w:p w14:paraId="2327EB3A">
      <w:pPr>
        <w:keepNext/>
        <w:keepLines/>
        <w:spacing w:before="260" w:after="260" w:line="240" w:lineRule="auto"/>
        <w:jc w:val="center"/>
        <w:outlineLvl w:val="1"/>
        <w:rPr>
          <w:rFonts w:hint="eastAsia" w:ascii="Times New Roman" w:hAnsi="Times New Roman"/>
          <w:b/>
          <w:bCs/>
          <w:sz w:val="21"/>
          <w:szCs w:val="21"/>
        </w:rPr>
      </w:pPr>
    </w:p>
    <w:p w14:paraId="0AF477C6">
      <w:pPr>
        <w:keepNext/>
        <w:keepLines/>
        <w:spacing w:before="260" w:after="260" w:line="240" w:lineRule="auto"/>
        <w:jc w:val="center"/>
        <w:outlineLvl w:val="1"/>
        <w:rPr>
          <w:rFonts w:hint="eastAsia" w:ascii="Times New Roman" w:hAnsi="Times New Roman"/>
          <w:b/>
          <w:bCs/>
          <w:sz w:val="21"/>
          <w:szCs w:val="21"/>
        </w:rPr>
      </w:pPr>
    </w:p>
    <w:p w14:paraId="6F5E276E">
      <w:pPr>
        <w:keepNext/>
        <w:keepLines/>
        <w:spacing w:before="260" w:after="260" w:line="240" w:lineRule="auto"/>
        <w:jc w:val="center"/>
        <w:outlineLvl w:val="1"/>
        <w:rPr>
          <w:rFonts w:hint="eastAsia" w:ascii="Times New Roman" w:hAnsi="Times New Roman"/>
          <w:b/>
          <w:bCs/>
          <w:sz w:val="28"/>
          <w:szCs w:val="28"/>
        </w:rPr>
      </w:pPr>
    </w:p>
    <w:p w14:paraId="6B55393A">
      <w:pPr>
        <w:keepNext/>
        <w:keepLines/>
        <w:spacing w:before="260" w:after="260" w:line="240" w:lineRule="auto"/>
        <w:jc w:val="center"/>
        <w:outlineLvl w:val="1"/>
        <w:rPr>
          <w:rFonts w:hint="eastAsia" w:ascii="Times New Roman" w:hAnsi="Times New Roman"/>
          <w:b/>
          <w:bCs/>
          <w:sz w:val="28"/>
          <w:szCs w:val="28"/>
        </w:rPr>
      </w:pPr>
    </w:p>
    <w:p w14:paraId="66B49C36">
      <w:pPr>
        <w:keepNext/>
        <w:keepLines/>
        <w:spacing w:before="260" w:after="260" w:line="240" w:lineRule="auto"/>
        <w:jc w:val="center"/>
        <w:outlineLvl w:val="1"/>
        <w:rPr>
          <w:rFonts w:hint="eastAsia" w:ascii="Times New Roman" w:hAnsi="Times New Roman"/>
          <w:b/>
          <w:bCs/>
          <w:sz w:val="28"/>
          <w:szCs w:val="28"/>
        </w:rPr>
      </w:pPr>
    </w:p>
    <w:p w14:paraId="0419D252">
      <w:pPr>
        <w:keepNext/>
        <w:keepLines/>
        <w:spacing w:before="260" w:after="260" w:line="240" w:lineRule="auto"/>
        <w:jc w:val="center"/>
        <w:outlineLvl w:val="1"/>
        <w:rPr>
          <w:rFonts w:hint="eastAsia" w:ascii="Times New Roman" w:hAnsi="Times New Roman"/>
          <w:b/>
          <w:bCs/>
          <w:sz w:val="28"/>
          <w:szCs w:val="28"/>
        </w:rPr>
      </w:pPr>
    </w:p>
    <w:p w14:paraId="1B154304">
      <w:pPr>
        <w:keepNext/>
        <w:keepLines/>
        <w:spacing w:before="260" w:after="260" w:line="240" w:lineRule="auto"/>
        <w:jc w:val="center"/>
        <w:outlineLvl w:val="1"/>
        <w:rPr>
          <w:rFonts w:hint="default" w:ascii="Times New Roman" w:hAnsi="Times New Roman" w:eastAsia="宋体"/>
          <w:b/>
          <w:bCs/>
          <w:sz w:val="28"/>
          <w:szCs w:val="28"/>
          <w:lang w:val="en-US" w:eastAsia="zh-CN"/>
        </w:rPr>
      </w:pPr>
      <w:r>
        <w:rPr>
          <w:rFonts w:hint="eastAsia" w:ascii="Times New Roman" w:hAnsi="Times New Roman"/>
          <w:b/>
          <w:bCs/>
          <w:sz w:val="28"/>
          <w:szCs w:val="28"/>
          <w:lang w:val="en-US" w:eastAsia="zh-CN"/>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29D5CC5B">
      <w:pPr>
        <w:keepNext/>
        <w:keepLines/>
        <w:spacing w:before="260" w:after="260" w:line="416" w:lineRule="atLeast"/>
        <w:jc w:val="center"/>
        <w:outlineLvl w:val="1"/>
        <w:rPr>
          <w:rFonts w:hint="eastAsia" w:ascii="Times New Roman" w:hAnsi="Times New Roman" w:eastAsia="宋体"/>
          <w:b/>
          <w:bCs/>
          <w:color w:val="7030A0"/>
          <w:sz w:val="28"/>
          <w:szCs w:val="28"/>
          <w:lang w:eastAsia="zh-CN"/>
        </w:rPr>
      </w:pPr>
      <w:r>
        <w:rPr>
          <w:rFonts w:hint="eastAsia" w:ascii="微软简老宋" w:hAnsi="微软简老宋" w:eastAsia="微软简老宋" w:cs="微软简老宋"/>
          <w:b w:val="0"/>
          <w:bCs w:val="0"/>
          <w:color w:val="7030A0"/>
          <w:sz w:val="32"/>
          <w:szCs w:val="32"/>
          <w:lang w:val="en-US" w:eastAsia="zh-CN"/>
        </w:rPr>
        <w:t>单元二</w:t>
      </w:r>
      <w:bookmarkStart w:id="0" w:name="_GoBack"/>
      <w:bookmarkEnd w:id="0"/>
      <w:r>
        <w:rPr>
          <w:rFonts w:hint="eastAsia" w:ascii="微软简老宋" w:hAnsi="微软简老宋" w:eastAsia="微软简老宋" w:cs="微软简老宋"/>
          <w:b w:val="0"/>
          <w:bCs w:val="0"/>
          <w:color w:val="7030A0"/>
          <w:sz w:val="32"/>
          <w:szCs w:val="32"/>
          <w:lang w:val="en-US" w:eastAsia="zh-CN"/>
        </w:rPr>
        <w:t xml:space="preserve">  老年人的营养素需要</w:t>
      </w:r>
    </w:p>
    <w:tbl>
      <w:tblPr>
        <w:tblStyle w:val="10"/>
        <w:tblW w:w="10488"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84"/>
        <w:gridCol w:w="7208"/>
        <w:gridCol w:w="1696"/>
      </w:tblGrid>
      <w:tr w14:paraId="3384969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2478157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7173" w:type="dxa"/>
            <w:gridSpan w:val="2"/>
            <w:tcBorders>
              <w:tl2br w:val="nil"/>
              <w:tr2bl w:val="nil"/>
            </w:tcBorders>
            <w:vAlign w:val="center"/>
          </w:tcPr>
          <w:p w14:paraId="35FA90CE">
            <w:pPr>
              <w:keepNext w:val="0"/>
              <w:keepLines w:val="0"/>
              <w:suppressLineNumbers w:val="0"/>
              <w:spacing w:before="0" w:beforeAutospacing="0" w:after="0" w:afterAutospacing="0" w:line="360" w:lineRule="auto"/>
              <w:ind w:left="0" w:right="0" w:hanging="8"/>
              <w:rPr>
                <w:rFonts w:hint="default" w:ascii="Times New Roman" w:hAnsi="Times New Roman" w:eastAsia="宋体"/>
                <w:sz w:val="24"/>
                <w:szCs w:val="24"/>
                <w:lang w:val="en-US" w:eastAsia="zh-CN"/>
              </w:rPr>
            </w:pPr>
            <w:r>
              <w:rPr>
                <w:rFonts w:hint="eastAsia" w:ascii="微软简老宋" w:hAnsi="微软简老宋" w:eastAsia="微软简老宋" w:cs="微软简老宋"/>
                <w:b/>
                <w:bCs/>
                <w:color w:val="7030A0"/>
                <w:sz w:val="32"/>
                <w:szCs w:val="32"/>
                <w:lang w:val="en-US" w:eastAsia="zh-CN"/>
              </w:rPr>
              <w:t>老年人的营养素需要</w:t>
            </w:r>
          </w:p>
        </w:tc>
      </w:tr>
      <w:tr w14:paraId="3876352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54D3FE4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7173" w:type="dxa"/>
            <w:gridSpan w:val="2"/>
            <w:tcBorders>
              <w:tl2br w:val="nil"/>
              <w:tr2bl w:val="nil"/>
            </w:tcBorders>
            <w:vAlign w:val="center"/>
          </w:tcPr>
          <w:p w14:paraId="50F2858C">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4</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180</w:t>
            </w:r>
            <w:r>
              <w:rPr>
                <w:rFonts w:hint="eastAsia" w:ascii="Times New Roman" w:hAnsi="宋体"/>
                <w:sz w:val="24"/>
                <w:szCs w:val="24"/>
              </w:rPr>
              <w:t>min）。</w:t>
            </w:r>
          </w:p>
        </w:tc>
      </w:tr>
      <w:tr w14:paraId="061FC37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2B3F2A47">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7173" w:type="dxa"/>
            <w:gridSpan w:val="2"/>
            <w:tcBorders>
              <w:tl2br w:val="nil"/>
              <w:tr2bl w:val="nil"/>
            </w:tcBorders>
            <w:vAlign w:val="center"/>
          </w:tcPr>
          <w:p w14:paraId="03E501A4">
            <w:pPr>
              <w:keepNext w:val="0"/>
              <w:keepLines w:val="0"/>
              <w:suppressLineNumbers w:val="0"/>
              <w:spacing w:before="0" w:beforeAutospacing="0" w:after="0" w:afterAutospacing="0" w:line="360" w:lineRule="auto"/>
              <w:ind w:left="0" w:right="0" w:hanging="8"/>
              <w:rPr>
                <w:rFonts w:hint="default"/>
                <w:b/>
                <w:color w:val="7030A0"/>
                <w:sz w:val="24"/>
                <w:szCs w:val="24"/>
              </w:rPr>
            </w:pPr>
            <w:r>
              <w:rPr>
                <w:rFonts w:hint="default" w:hAnsi="宋体"/>
                <w:b/>
                <w:color w:val="7030A0"/>
                <w:sz w:val="24"/>
                <w:szCs w:val="24"/>
              </w:rPr>
              <w:t>知识</w:t>
            </w:r>
            <w:r>
              <w:rPr>
                <w:rFonts w:hint="eastAsia" w:hAnsi="宋体"/>
                <w:b/>
                <w:color w:val="7030A0"/>
                <w:sz w:val="24"/>
                <w:szCs w:val="24"/>
              </w:rPr>
              <w:t>技能</w:t>
            </w:r>
            <w:r>
              <w:rPr>
                <w:rFonts w:hint="default" w:hAnsi="宋体"/>
                <w:b/>
                <w:color w:val="7030A0"/>
                <w:sz w:val="24"/>
                <w:szCs w:val="24"/>
              </w:rPr>
              <w:t>目标：</w:t>
            </w:r>
          </w:p>
          <w:p w14:paraId="1660147B">
            <w:pPr>
              <w:keepNext w:val="0"/>
              <w:keepLines w:val="0"/>
              <w:pageBreakBefore w:val="0"/>
              <w:widowControl w:val="0"/>
              <w:numPr>
                <w:ilvl w:val="0"/>
                <w:numId w:val="1"/>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宋体"/>
                <w:bCs/>
                <w:sz w:val="24"/>
                <w:szCs w:val="24"/>
              </w:rPr>
            </w:pPr>
            <w:r>
              <w:rPr>
                <w:rFonts w:hint="default" w:ascii="Times New Roman" w:hAnsi="宋体"/>
                <w:bCs/>
                <w:sz w:val="24"/>
                <w:szCs w:val="24"/>
              </w:rPr>
              <w:t>说出七大营养素的分类与主要生理功能</w:t>
            </w:r>
            <w:r>
              <w:rPr>
                <w:rFonts w:hint="eastAsia" w:ascii="Times New Roman" w:hAnsi="宋体"/>
                <w:bCs/>
                <w:sz w:val="24"/>
                <w:szCs w:val="24"/>
                <w:lang w:eastAsia="zh-CN"/>
              </w:rPr>
              <w:t>。</w:t>
            </w:r>
            <w:r>
              <w:rPr>
                <w:rFonts w:hint="default" w:ascii="Times New Roman" w:hAnsi="宋体"/>
                <w:bCs/>
                <w:sz w:val="24"/>
                <w:szCs w:val="24"/>
              </w:rPr>
              <w:br w:type="textWrapping"/>
            </w:r>
            <w:r>
              <w:rPr>
                <w:rFonts w:hint="eastAsia" w:ascii="Times New Roman" w:hAnsi="宋体"/>
                <w:bCs/>
                <w:sz w:val="24"/>
                <w:szCs w:val="24"/>
                <w:lang w:val="en-US" w:eastAsia="zh-CN"/>
              </w:rPr>
              <w:t xml:space="preserve">2. </w:t>
            </w:r>
            <w:r>
              <w:rPr>
                <w:rFonts w:hint="default" w:ascii="Times New Roman" w:hAnsi="宋体"/>
                <w:bCs/>
                <w:sz w:val="24"/>
                <w:szCs w:val="24"/>
              </w:rPr>
              <w:t>列举老年人对能量、蛋白质、脂类、糖类、矿物质、维生素、膳食纤维及水的参考摄入量与食物来源</w:t>
            </w:r>
            <w:r>
              <w:rPr>
                <w:rFonts w:hint="eastAsia" w:ascii="Times New Roman" w:hAnsi="宋体"/>
                <w:bCs/>
                <w:sz w:val="24"/>
                <w:szCs w:val="24"/>
                <w:lang w:eastAsia="zh-CN"/>
              </w:rPr>
              <w:t>。</w:t>
            </w:r>
            <w:r>
              <w:rPr>
                <w:rFonts w:hint="default" w:ascii="Times New Roman" w:hAnsi="宋体"/>
                <w:bCs/>
                <w:sz w:val="24"/>
                <w:szCs w:val="24"/>
              </w:rPr>
              <w:br w:type="textWrapping"/>
            </w:r>
            <w:r>
              <w:rPr>
                <w:rFonts w:hint="eastAsia" w:ascii="Times New Roman" w:hAnsi="宋体"/>
                <w:bCs/>
                <w:sz w:val="24"/>
                <w:szCs w:val="24"/>
                <w:lang w:val="en-US" w:eastAsia="zh-CN"/>
              </w:rPr>
              <w:t xml:space="preserve">3. </w:t>
            </w:r>
            <w:r>
              <w:rPr>
                <w:rFonts w:hint="default" w:ascii="Times New Roman" w:hAnsi="宋体"/>
                <w:bCs/>
                <w:sz w:val="24"/>
                <w:szCs w:val="24"/>
              </w:rPr>
              <w:t>描述蛋白质营养评价四项指标（含量、必需氨基酸、消化率、生物价）</w:t>
            </w:r>
            <w:r>
              <w:rPr>
                <w:rFonts w:hint="eastAsia" w:ascii="Times New Roman" w:hAnsi="宋体"/>
                <w:bCs/>
                <w:sz w:val="24"/>
                <w:szCs w:val="24"/>
                <w:lang w:eastAsia="zh-CN"/>
              </w:rPr>
              <w:t>。</w:t>
            </w:r>
            <w:r>
              <w:rPr>
                <w:rFonts w:hint="default" w:ascii="Times New Roman" w:hAnsi="宋体"/>
                <w:bCs/>
                <w:sz w:val="24"/>
                <w:szCs w:val="24"/>
              </w:rPr>
              <w:br w:type="textWrapping"/>
            </w:r>
            <w:r>
              <w:rPr>
                <w:rFonts w:hint="eastAsia" w:ascii="Times New Roman" w:hAnsi="宋体"/>
                <w:bCs/>
                <w:sz w:val="24"/>
                <w:szCs w:val="24"/>
                <w:lang w:val="en-US" w:eastAsia="zh-CN"/>
              </w:rPr>
              <w:t xml:space="preserve">4. </w:t>
            </w:r>
            <w:r>
              <w:rPr>
                <w:rFonts w:hint="default" w:ascii="Times New Roman" w:hAnsi="宋体"/>
                <w:bCs/>
                <w:sz w:val="24"/>
                <w:szCs w:val="24"/>
              </w:rPr>
              <w:t>说出血糖指数（GI）概念及低/中/高GI食物举例</w:t>
            </w:r>
            <w:r>
              <w:rPr>
                <w:rFonts w:hint="eastAsia" w:ascii="Times New Roman" w:hAnsi="宋体"/>
                <w:bCs/>
                <w:sz w:val="24"/>
                <w:szCs w:val="24"/>
                <w:lang w:eastAsia="zh-CN"/>
              </w:rPr>
              <w:t>。</w:t>
            </w:r>
            <w:r>
              <w:rPr>
                <w:rFonts w:hint="default" w:ascii="Times New Roman" w:hAnsi="宋体"/>
                <w:bCs/>
                <w:sz w:val="24"/>
                <w:szCs w:val="24"/>
              </w:rPr>
              <w:br w:type="textWrapping"/>
            </w:r>
            <w:r>
              <w:rPr>
                <w:rFonts w:hint="eastAsia" w:ascii="Times New Roman" w:hAnsi="宋体"/>
                <w:bCs/>
                <w:sz w:val="24"/>
                <w:szCs w:val="24"/>
                <w:lang w:val="en-US" w:eastAsia="zh-CN"/>
              </w:rPr>
              <w:t xml:space="preserve">5. </w:t>
            </w:r>
            <w:r>
              <w:rPr>
                <w:rFonts w:hint="default" w:ascii="Times New Roman" w:hAnsi="宋体"/>
                <w:bCs/>
                <w:sz w:val="24"/>
                <w:szCs w:val="24"/>
              </w:rPr>
              <w:t>说出Freid衰弱评估5项指标及判定标准。</w:t>
            </w:r>
          </w:p>
          <w:p w14:paraId="64F9F6E3">
            <w:pPr>
              <w:keepNext w:val="0"/>
              <w:keepLines w:val="0"/>
              <w:suppressLineNumbers w:val="0"/>
              <w:spacing w:before="0" w:beforeAutospacing="0" w:after="0" w:afterAutospacing="0" w:line="360" w:lineRule="auto"/>
              <w:ind w:left="0" w:right="0" w:hanging="8"/>
              <w:rPr>
                <w:rFonts w:hint="default" w:ascii="Times New Roman" w:hAnsi="Times New Roman"/>
                <w:b/>
                <w:color w:val="7030A0"/>
                <w:sz w:val="24"/>
                <w:szCs w:val="24"/>
              </w:rPr>
            </w:pPr>
            <w:r>
              <w:rPr>
                <w:rFonts w:hint="default" w:ascii="Times New Roman" w:hAnsi="Times New Roman"/>
                <w:b/>
                <w:color w:val="7030A0"/>
                <w:sz w:val="24"/>
                <w:szCs w:val="24"/>
              </w:rPr>
              <w:t>思政育人目标</w:t>
            </w:r>
            <w:r>
              <w:rPr>
                <w:rFonts w:hint="eastAsia" w:ascii="Times New Roman" w:hAnsi="Times New Roman"/>
                <w:b/>
                <w:color w:val="7030A0"/>
                <w:sz w:val="24"/>
                <w:szCs w:val="24"/>
              </w:rPr>
              <w:t>：</w:t>
            </w:r>
          </w:p>
          <w:p w14:paraId="30FEBBA2">
            <w:pPr>
              <w:keepNext w:val="0"/>
              <w:keepLines w:val="0"/>
              <w:pageBreakBefore w:val="0"/>
              <w:widowControl w:val="0"/>
              <w:numPr>
                <w:ilvl w:val="0"/>
                <w:numId w:val="2"/>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sz w:val="24"/>
                <w:szCs w:val="24"/>
              </w:rPr>
            </w:pPr>
            <w:r>
              <w:rPr>
                <w:rFonts w:hint="default" w:ascii="Times New Roman" w:hAnsi="宋体"/>
                <w:bCs/>
                <w:sz w:val="24"/>
                <w:szCs w:val="24"/>
              </w:rPr>
              <w:t>树立“主动健康”理念，体会精准化、个体化营养对成功老龄化的意义</w:t>
            </w:r>
            <w:r>
              <w:rPr>
                <w:rFonts w:hint="eastAsia" w:ascii="Times New Roman" w:hAnsi="宋体"/>
                <w:bCs/>
                <w:sz w:val="24"/>
                <w:szCs w:val="24"/>
                <w:lang w:eastAsia="zh-CN"/>
              </w:rPr>
              <w:t>。</w:t>
            </w:r>
            <w:r>
              <w:rPr>
                <w:rFonts w:hint="default" w:ascii="Times New Roman" w:hAnsi="宋体"/>
                <w:bCs/>
                <w:sz w:val="24"/>
                <w:szCs w:val="24"/>
              </w:rPr>
              <w:br w:type="textWrapping"/>
            </w:r>
            <w:r>
              <w:rPr>
                <w:rFonts w:hint="eastAsia" w:ascii="Times New Roman" w:hAnsi="宋体"/>
                <w:bCs/>
                <w:sz w:val="24"/>
                <w:szCs w:val="24"/>
                <w:lang w:val="en-US" w:eastAsia="zh-CN"/>
              </w:rPr>
              <w:t xml:space="preserve">2. </w:t>
            </w:r>
            <w:r>
              <w:rPr>
                <w:rFonts w:hint="default" w:ascii="Times New Roman" w:hAnsi="宋体"/>
                <w:bCs/>
                <w:sz w:val="24"/>
                <w:szCs w:val="24"/>
              </w:rPr>
              <w:t>培养严谨求实的专业态度与人文关怀精神。</w:t>
            </w:r>
          </w:p>
        </w:tc>
      </w:tr>
      <w:tr w14:paraId="32856297">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51A560B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7173" w:type="dxa"/>
            <w:gridSpan w:val="2"/>
            <w:tcBorders>
              <w:tl2br w:val="nil"/>
              <w:tr2bl w:val="nil"/>
            </w:tcBorders>
            <w:vAlign w:val="center"/>
          </w:tcPr>
          <w:p w14:paraId="4D74BA4D">
            <w:pPr>
              <w:keepNext w:val="0"/>
              <w:keepLines w:val="0"/>
              <w:suppressLineNumbers w:val="0"/>
              <w:spacing w:before="0" w:beforeAutospacing="0" w:after="0" w:afterAutospacing="0" w:line="360" w:lineRule="auto"/>
              <w:ind w:left="0" w:right="0" w:hanging="8"/>
              <w:rPr>
                <w:rFonts w:hint="eastAsia" w:ascii="宋体" w:hAnsi="宋体" w:cs="宋体"/>
                <w:kern w:val="0"/>
                <w:sz w:val="24"/>
                <w:szCs w:val="24"/>
                <w:lang w:eastAsia="zh-CN"/>
              </w:rPr>
            </w:pPr>
            <w:r>
              <w:rPr>
                <w:rFonts w:hint="eastAsia" w:ascii="Times New Roman" w:hAnsi="Times New Roman"/>
                <w:b/>
                <w:color w:val="7030A0"/>
                <w:sz w:val="24"/>
                <w:szCs w:val="24"/>
              </w:rPr>
              <w:t>教学重点：</w:t>
            </w:r>
            <w:r>
              <w:rPr>
                <w:rFonts w:hint="eastAsia" w:ascii="宋体" w:hAnsi="宋体" w:cs="宋体"/>
                <w:kern w:val="0"/>
                <w:sz w:val="24"/>
                <w:szCs w:val="24"/>
              </w:rPr>
              <w:t>老年人能量及七大营养素的需求特点、参考值及食物来源。</w:t>
            </w:r>
          </w:p>
          <w:p w14:paraId="5DF3F43D">
            <w:pPr>
              <w:keepNext w:val="0"/>
              <w:keepLines w:val="0"/>
              <w:suppressLineNumbers w:val="0"/>
              <w:spacing w:before="0" w:beforeAutospacing="0" w:after="0" w:afterAutospacing="0" w:line="360" w:lineRule="auto"/>
              <w:ind w:left="0" w:right="0" w:hanging="8"/>
              <w:rPr>
                <w:rFonts w:hint="eastAsia" w:ascii="Times New Roman" w:hAnsi="Times New Roman"/>
                <w:b/>
                <w:color w:val="7030A0"/>
                <w:sz w:val="24"/>
                <w:szCs w:val="24"/>
              </w:rPr>
            </w:pPr>
            <w:r>
              <w:rPr>
                <w:rFonts w:hint="eastAsia" w:ascii="Times New Roman" w:hAnsi="Times New Roman"/>
                <w:b/>
                <w:color w:val="7030A0"/>
                <w:sz w:val="24"/>
                <w:szCs w:val="24"/>
              </w:rPr>
              <w:t>教学难点：</w:t>
            </w:r>
          </w:p>
          <w:p w14:paraId="6A9A12E0">
            <w:pPr>
              <w:keepNext w:val="0"/>
              <w:keepLines w:val="0"/>
              <w:numPr>
                <w:ilvl w:val="0"/>
                <w:numId w:val="3"/>
              </w:numPr>
              <w:suppressLineNumbers w:val="0"/>
              <w:spacing w:before="0" w:beforeAutospacing="0" w:after="0" w:afterAutospacing="0" w:line="360" w:lineRule="auto"/>
              <w:ind w:left="0" w:right="0" w:hanging="8"/>
              <w:rPr>
                <w:rFonts w:hint="eastAsia" w:ascii="宋体" w:hAnsi="宋体" w:cs="宋体"/>
                <w:kern w:val="0"/>
                <w:sz w:val="24"/>
                <w:szCs w:val="24"/>
              </w:rPr>
            </w:pPr>
            <w:r>
              <w:rPr>
                <w:rFonts w:hint="eastAsia" w:ascii="宋体" w:hAnsi="宋体" w:cs="宋体"/>
                <w:kern w:val="0"/>
                <w:sz w:val="24"/>
                <w:szCs w:val="24"/>
              </w:rPr>
              <w:t>蛋白质营养评价指标的综合应用</w:t>
            </w:r>
            <w:r>
              <w:rPr>
                <w:rFonts w:hint="eastAsia" w:ascii="宋体" w:hAnsi="宋体" w:cs="宋体"/>
                <w:kern w:val="0"/>
                <w:sz w:val="24"/>
                <w:szCs w:val="24"/>
                <w:lang w:eastAsia="zh-CN"/>
              </w:rPr>
              <w:t>。</w:t>
            </w:r>
          </w:p>
          <w:p w14:paraId="3D51F382">
            <w:pPr>
              <w:keepNext w:val="0"/>
              <w:keepLines w:val="0"/>
              <w:numPr>
                <w:ilvl w:val="0"/>
                <w:numId w:val="3"/>
              </w:numPr>
              <w:suppressLineNumbers w:val="0"/>
              <w:spacing w:before="0" w:beforeAutospacing="0" w:after="0" w:afterAutospacing="0" w:line="360" w:lineRule="auto"/>
              <w:ind w:left="0" w:leftChars="0" w:right="0" w:hanging="8" w:firstLineChars="0"/>
              <w:rPr>
                <w:rFonts w:hint="default" w:ascii="Times New Roman" w:hAnsi="Times New Roman"/>
                <w:sz w:val="24"/>
                <w:szCs w:val="24"/>
              </w:rPr>
            </w:pPr>
            <w:r>
              <w:rPr>
                <w:rFonts w:hint="eastAsia" w:ascii="宋体" w:hAnsi="宋体" w:cs="宋体"/>
                <w:kern w:val="0"/>
                <w:sz w:val="24"/>
                <w:szCs w:val="24"/>
              </w:rPr>
              <w:t>基于慢病（糖尿病、骨质疏松）的个性化营养调整思路。</w:t>
            </w:r>
          </w:p>
        </w:tc>
      </w:tr>
      <w:tr w14:paraId="4FD6966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4106A65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7173" w:type="dxa"/>
            <w:gridSpan w:val="2"/>
            <w:tcBorders>
              <w:tl2br w:val="nil"/>
              <w:tr2bl w:val="nil"/>
            </w:tcBorders>
            <w:vAlign w:val="center"/>
          </w:tcPr>
          <w:p w14:paraId="65CC6B2B">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讲授法、案例分析法、任务驱动法、小组讨论法、启发式提问。</w:t>
            </w:r>
          </w:p>
        </w:tc>
      </w:tr>
      <w:tr w14:paraId="6248C57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11A4FBA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7173" w:type="dxa"/>
            <w:gridSpan w:val="2"/>
            <w:tcBorders>
              <w:tl2br w:val="nil"/>
              <w:tr2bl w:val="nil"/>
            </w:tcBorders>
            <w:vAlign w:val="center"/>
          </w:tcPr>
          <w:p w14:paraId="573BEBB9">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多媒体PPT</w:t>
            </w:r>
            <w:r>
              <w:rPr>
                <w:rFonts w:hint="eastAsia" w:ascii="Times New Roman" w:hAnsi="宋体"/>
                <w:sz w:val="24"/>
                <w:szCs w:val="24"/>
                <w:lang w:eastAsia="zh-CN"/>
              </w:rPr>
              <w:t>、</w:t>
            </w:r>
            <w:r>
              <w:rPr>
                <w:rFonts w:hint="default" w:ascii="Times New Roman" w:hAnsi="宋体"/>
                <w:sz w:val="24"/>
                <w:szCs w:val="24"/>
              </w:rPr>
              <w:t>《中国居民膳食营养素参考摄入量（2023版）》二维码</w:t>
            </w:r>
            <w:r>
              <w:rPr>
                <w:rFonts w:hint="eastAsia" w:ascii="Times New Roman" w:hAnsi="宋体"/>
                <w:sz w:val="24"/>
                <w:szCs w:val="24"/>
                <w:lang w:eastAsia="zh-CN"/>
              </w:rPr>
              <w:t>、</w:t>
            </w:r>
            <w:r>
              <w:rPr>
                <w:rFonts w:hint="default" w:ascii="Times New Roman" w:hAnsi="宋体"/>
                <w:sz w:val="24"/>
                <w:szCs w:val="24"/>
              </w:rPr>
              <w:t>空白Freid衰弱评估表（学生用）</w:t>
            </w:r>
            <w:r>
              <w:rPr>
                <w:rFonts w:hint="eastAsia" w:ascii="Times New Roman" w:hAnsi="宋体"/>
                <w:sz w:val="24"/>
                <w:szCs w:val="24"/>
                <w:lang w:eastAsia="zh-CN"/>
              </w:rPr>
              <w:t>、</w:t>
            </w:r>
            <w:r>
              <w:rPr>
                <w:rFonts w:hint="default" w:ascii="Times New Roman" w:hAnsi="宋体"/>
                <w:sz w:val="24"/>
                <w:szCs w:val="24"/>
              </w:rPr>
              <w:t>记号笔、膳食宝塔模型</w:t>
            </w:r>
          </w:p>
        </w:tc>
      </w:tr>
      <w:tr w14:paraId="77732F8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6949DB5B">
            <w:pPr>
              <w:keepNext w:val="0"/>
              <w:keepLines w:val="0"/>
              <w:suppressLineNumbers w:val="0"/>
              <w:spacing w:before="0" w:beforeAutospacing="0" w:after="0" w:afterAutospacing="0" w:line="360" w:lineRule="auto"/>
              <w:ind w:left="0" w:right="0" w:hanging="8"/>
              <w:jc w:val="center"/>
              <w:rPr>
                <w:rFonts w:hint="default" w:ascii="Times New Roman" w:hAnsi="宋体"/>
                <w:b/>
                <w:sz w:val="24"/>
                <w:szCs w:val="24"/>
              </w:rPr>
            </w:pPr>
            <w:r>
              <w:rPr>
                <w:rFonts w:hint="default" w:ascii="Times New Roman" w:hAnsi="宋体"/>
                <w:b/>
                <w:sz w:val="24"/>
                <w:szCs w:val="24"/>
              </w:rPr>
              <w:t>教学设计</w:t>
            </w:r>
          </w:p>
        </w:tc>
        <w:tc>
          <w:tcPr>
            <w:tcW w:w="7173" w:type="dxa"/>
            <w:gridSpan w:val="2"/>
            <w:tcBorders>
              <w:tl2br w:val="nil"/>
              <w:tr2bl w:val="nil"/>
            </w:tcBorders>
            <w:vAlign w:val="center"/>
          </w:tcPr>
          <w:p w14:paraId="6142D5B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1563999A">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12FC460">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4D64A871">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tc>
      </w:tr>
      <w:tr w14:paraId="0B7D039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A878D4"/>
            <w:vAlign w:val="center"/>
          </w:tcPr>
          <w:p w14:paraId="0894751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教学过程</w:t>
            </w:r>
          </w:p>
        </w:tc>
        <w:tc>
          <w:tcPr>
            <w:tcW w:w="5807" w:type="dxa"/>
            <w:tcBorders>
              <w:tl2br w:val="nil"/>
              <w:tr2bl w:val="nil"/>
            </w:tcBorders>
            <w:shd w:val="clear" w:color="auto" w:fill="A878D4"/>
            <w:vAlign w:val="center"/>
          </w:tcPr>
          <w:p w14:paraId="0DCD218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eastAsia" w:ascii="Times New Roman" w:hAnsi="Times New Roman"/>
                <w:b/>
                <w:bCs w:val="0"/>
                <w:color w:val="FFFFFF" w:themeColor="background1"/>
                <w:sz w:val="24"/>
                <w:szCs w:val="24"/>
                <w14:textFill>
                  <w14:solidFill>
                    <w14:schemeClr w14:val="bg1"/>
                  </w14:solidFill>
                </w14:textFill>
              </w:rPr>
              <w:t>主要教学内容及步骤</w:t>
            </w:r>
          </w:p>
        </w:tc>
        <w:tc>
          <w:tcPr>
            <w:tcW w:w="1366" w:type="dxa"/>
            <w:tcBorders>
              <w:tl2br w:val="nil"/>
              <w:tr2bl w:val="nil"/>
            </w:tcBorders>
            <w:shd w:val="clear" w:color="auto" w:fill="A878D4"/>
            <w:vAlign w:val="center"/>
          </w:tcPr>
          <w:p w14:paraId="2AB6DCB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FFFFFF" w:themeColor="background1"/>
                <w:sz w:val="24"/>
                <w:szCs w:val="24"/>
                <w14:textFill>
                  <w14:solidFill>
                    <w14:schemeClr w14:val="bg1"/>
                  </w14:solidFill>
                </w14:textFill>
              </w:rPr>
            </w:pPr>
            <w:r>
              <w:rPr>
                <w:rFonts w:hint="default" w:ascii="Times New Roman" w:hAnsi="Times New Roman"/>
                <w:b/>
                <w:bCs w:val="0"/>
                <w:color w:val="FFFFFF" w:themeColor="background1"/>
                <w:sz w:val="24"/>
                <w:szCs w:val="24"/>
                <w14:textFill>
                  <w14:solidFill>
                    <w14:schemeClr w14:val="bg1"/>
                  </w14:solidFill>
                </w14:textFill>
              </w:rPr>
              <w:t>设计意图</w:t>
            </w:r>
          </w:p>
        </w:tc>
      </w:tr>
      <w:tr w14:paraId="199800F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0EEAD106">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考勤</w:t>
            </w:r>
          </w:p>
          <w:p w14:paraId="593C4683">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4"/>
                <w:szCs w:val="24"/>
                <w:lang w:eastAsia="zh-CN"/>
              </w:rPr>
            </w:pPr>
            <w:r>
              <w:rPr>
                <w:rFonts w:hint="eastAsia" w:ascii="Times New Roman" w:hAnsi="Times New Roman"/>
                <w:b/>
                <w:sz w:val="24"/>
                <w:szCs w:val="24"/>
                <w:lang w:eastAsia="zh-CN"/>
              </w:rPr>
              <w:t>（</w:t>
            </w:r>
            <w:r>
              <w:rPr>
                <w:rFonts w:hint="eastAsia" w:ascii="Times New Roman" w:hAnsi="Times New Roman"/>
                <w:b/>
                <w:sz w:val="24"/>
                <w:szCs w:val="24"/>
                <w:lang w:val="en-US" w:eastAsia="zh-CN"/>
              </w:rPr>
              <w:t>2min</w:t>
            </w:r>
            <w:r>
              <w:rPr>
                <w:rFonts w:hint="eastAsia" w:ascii="Times New Roman" w:hAnsi="Times New Roman"/>
                <w:b/>
                <w:sz w:val="24"/>
                <w:szCs w:val="24"/>
                <w:lang w:eastAsia="zh-CN"/>
              </w:rPr>
              <w:t>）</w:t>
            </w:r>
          </w:p>
        </w:tc>
        <w:tc>
          <w:tcPr>
            <w:tcW w:w="5807" w:type="dxa"/>
            <w:tcBorders>
              <w:tl2br w:val="nil"/>
              <w:tr2bl w:val="nil"/>
            </w:tcBorders>
            <w:vAlign w:val="center"/>
          </w:tcPr>
          <w:p w14:paraId="7F84D9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FC6E9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366" w:type="dxa"/>
            <w:tcBorders>
              <w:tl2br w:val="nil"/>
              <w:tr2bl w:val="nil"/>
            </w:tcBorders>
            <w:vAlign w:val="center"/>
          </w:tcPr>
          <w:p w14:paraId="47E834E0">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07096F75">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4D58D3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F89A0A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lang w:val="en-US" w:eastAsia="zh-CN"/>
              </w:rPr>
              <w:t>40</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6D161801">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4"/>
                <w:szCs w:val="24"/>
                <w:lang w:val="en-US" w:eastAsia="zh-CN" w:bidi="ar"/>
              </w:rPr>
            </w:pPr>
            <w:r>
              <w:rPr>
                <w:rFonts w:hint="eastAsia" w:ascii="Times New Roman" w:hAnsi="Times New Roman"/>
                <w:b/>
                <w:color w:val="C00000"/>
                <w:sz w:val="24"/>
                <w:szCs w:val="24"/>
              </w:rPr>
              <w:t>【教师】</w:t>
            </w:r>
            <w:r>
              <w:rPr>
                <w:rFonts w:hint="eastAsia" w:ascii="宋体" w:hAnsi="宋体" w:eastAsia="宋体" w:cs="宋体"/>
                <w:b w:val="0"/>
                <w:bCs/>
                <w:color w:val="C00000"/>
                <w:kern w:val="2"/>
                <w:sz w:val="24"/>
                <w:szCs w:val="24"/>
                <w:lang w:val="en-US" w:eastAsia="zh-CN" w:bidi="ar"/>
              </w:rPr>
              <w:t>展示老年人蛋白质需求和糖类需求知识</w:t>
            </w:r>
          </w:p>
          <w:p w14:paraId="01E73D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bCs w:val="0"/>
                <w:color w:val="000000" w:themeColor="text1"/>
                <w:sz w:val="24"/>
                <w:szCs w:val="24"/>
                <w:lang w:val="zh-CN" w:eastAsia="zh-CN"/>
                <w14:textFill>
                  <w14:solidFill>
                    <w14:schemeClr w14:val="tx1"/>
                  </w14:solidFill>
                </w14:textFill>
              </w:rPr>
            </w:pPr>
            <w:r>
              <w:rPr>
                <w:rFonts w:hint="eastAsia" w:ascii="Times New Roman" w:hAnsi="Times New Roman"/>
                <w:b/>
                <w:bCs w:val="0"/>
                <w:color w:val="000000" w:themeColor="text1"/>
                <w:sz w:val="24"/>
                <w:szCs w:val="24"/>
                <w:lang w:val="zh-CN" w:eastAsia="zh-CN"/>
                <w14:textFill>
                  <w14:solidFill>
                    <w14:schemeClr w14:val="tx1"/>
                  </w14:solidFill>
                </w14:textFill>
              </w:rPr>
              <w:t>一、蛋白质的基本结构</w:t>
            </w:r>
          </w:p>
          <w:p w14:paraId="3CEAA6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b w:val="0"/>
                <w:bCs/>
                <w:color w:val="000000" w:themeColor="text1"/>
                <w:sz w:val="24"/>
                <w:szCs w:val="24"/>
                <w:lang w:val="zh-CN" w:eastAsia="zh-CN"/>
                <w14:textFill>
                  <w14:solidFill>
                    <w14:schemeClr w14:val="tx1"/>
                  </w14:solidFill>
                </w14:textFill>
              </w:rPr>
            </w:pPr>
            <w:r>
              <w:rPr>
                <w:rFonts w:hint="default" w:ascii="Times New Roman" w:hAnsi="Times New Roman"/>
                <w:b w:val="0"/>
                <w:bCs/>
                <w:color w:val="000000" w:themeColor="text1"/>
                <w:sz w:val="24"/>
                <w:szCs w:val="24"/>
                <w:lang w:val="zh-CN" w:eastAsia="zh-CN"/>
                <w14:textFill>
                  <w14:solidFill>
                    <w14:schemeClr w14:val="tx1"/>
                  </w14:solidFill>
                </w14:textFill>
              </w:rPr>
              <w:t>蛋白质由氨基酸组成</w:t>
            </w:r>
            <w:r>
              <w:rPr>
                <w:rFonts w:hint="eastAsia" w:ascii="Times New Roman" w:hAnsi="Times New Roman"/>
                <w:b w:val="0"/>
                <w:bCs/>
                <w:color w:val="000000" w:themeColor="text1"/>
                <w:sz w:val="24"/>
                <w:szCs w:val="24"/>
                <w:lang w:val="zh-CN" w:eastAsia="zh-CN"/>
                <w14:textFill>
                  <w14:solidFill>
                    <w14:schemeClr w14:val="tx1"/>
                  </w14:solidFill>
                </w14:textFill>
              </w:rPr>
              <w:t>，</w:t>
            </w:r>
            <w:r>
              <w:rPr>
                <w:rFonts w:hint="default" w:ascii="Times New Roman" w:hAnsi="Times New Roman"/>
                <w:b w:val="0"/>
                <w:bCs/>
                <w:color w:val="000000" w:themeColor="text1"/>
                <w:sz w:val="24"/>
                <w:szCs w:val="24"/>
                <w:lang w:val="zh-CN" w:eastAsia="zh-CN"/>
                <w14:textFill>
                  <w14:solidFill>
                    <w14:schemeClr w14:val="tx1"/>
                  </w14:solidFill>
                </w14:textFill>
              </w:rPr>
              <w:t>是由氨基酸按特定线性序列共价连接而成的分子。蛋白质的元素组成相似，主要有碳、氢、氧、氮和硫。</w:t>
            </w:r>
            <w:r>
              <w:rPr>
                <w:rFonts w:hint="eastAsia" w:ascii="Times New Roman" w:hAnsi="Times New Roman"/>
                <w:b w:val="0"/>
                <w:bCs/>
                <w:color w:val="000000" w:themeColor="text1"/>
                <w:sz w:val="24"/>
                <w:szCs w:val="24"/>
                <w:lang w:val="zh-CN" w:eastAsia="zh-CN"/>
                <w14:textFill>
                  <w14:solidFill>
                    <w14:schemeClr w14:val="tx1"/>
                  </w14:solidFill>
                </w14:textFill>
              </w:rPr>
              <w:t>人体氨基酸有</w:t>
            </w:r>
            <w:r>
              <w:rPr>
                <w:rFonts w:hint="eastAsia" w:ascii="Times New Roman" w:hAnsi="Times New Roman"/>
                <w:b w:val="0"/>
                <w:bCs/>
                <w:color w:val="000000" w:themeColor="text1"/>
                <w:sz w:val="24"/>
                <w:szCs w:val="24"/>
                <w:lang w:val="en-US" w:eastAsia="zh-CN"/>
                <w14:textFill>
                  <w14:solidFill>
                    <w14:schemeClr w14:val="tx1"/>
                  </w14:solidFill>
                </w14:textFill>
              </w:rPr>
              <w:t>20种</w:t>
            </w:r>
            <w:r>
              <w:rPr>
                <w:rFonts w:hint="eastAsia" w:ascii="Times New Roman" w:hAnsi="Times New Roman"/>
                <w:b w:val="0"/>
                <w:bCs/>
                <w:color w:val="000000" w:themeColor="text1"/>
                <w:sz w:val="24"/>
                <w:szCs w:val="24"/>
                <w:lang w:val="zh-CN" w:eastAsia="zh-CN"/>
                <w14:textFill>
                  <w14:solidFill>
                    <w14:schemeClr w14:val="tx1"/>
                  </w14:solidFill>
                </w14:textFill>
              </w:rPr>
              <w:t>。</w:t>
            </w:r>
          </w:p>
          <w:p w14:paraId="74E500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二、蛋白质对老年人的作用</w:t>
            </w:r>
          </w:p>
          <w:p w14:paraId="66690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构成细胞和生物体结构</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蛋白质是组成人体各种组织、器官、细胞的重要成分。</w:t>
            </w:r>
          </w:p>
          <w:p w14:paraId="5D236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2</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物质运输</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血红蛋白可以携带氧气到身体的各个部分，供组织细胞代谢使用。</w:t>
            </w:r>
          </w:p>
          <w:p w14:paraId="47DC5C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3.催化功能</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各具特殊功能的酶，绝大多数是蛋白质。</w:t>
            </w:r>
          </w:p>
          <w:p w14:paraId="6133BA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4.免疫功能</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抗体、淋巴因子等免疫分子都是蛋白质。</w:t>
            </w:r>
          </w:p>
          <w:p w14:paraId="7FAE7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.氧化供能</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体内的蛋白质可以彻底氧化分解为水、二氧化碳，并释放能量。</w:t>
            </w:r>
          </w:p>
          <w:p w14:paraId="397FA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6.</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维持正常的血浆渗透压</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血浆胶体渗透压主要由蛋白质分子构成</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p>
          <w:p w14:paraId="77DABB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三、蛋白质的营养学评价</w:t>
            </w:r>
          </w:p>
          <w:p w14:paraId="1C44E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1.蛋白质含量：食物中蛋白质的含量是评价其营养价值的基础指标。</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每克样品含氮克数</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×6</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.25</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00</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100g样品中蛋白质含量。</w:t>
            </w:r>
          </w:p>
          <w:p w14:paraId="3C57AD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2.必需氨基酸组成：食物蛋白质的营养价值很大程度上取决于其含有的必需氨基酸种类和比例是否与人体需求相匹配。</w:t>
            </w:r>
          </w:p>
          <w:p w14:paraId="31455F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3.蛋白质消化率：蛋白质消化率指的是食物蛋白质在人体内被分解和吸收的程度。</w:t>
            </w:r>
          </w:p>
          <w:p w14:paraId="6764D3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4.蛋白质生物价：生物价是指食物蛋白质被消化吸收后，被机体利用的程度。</w:t>
            </w:r>
          </w:p>
          <w:p w14:paraId="007098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四、老年人蛋白质的食物来源及需求</w:t>
            </w:r>
          </w:p>
          <w:p w14:paraId="748F14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1.蛋白质的食物来源</w:t>
            </w:r>
          </w:p>
          <w:p w14:paraId="217B95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动物性蛋白质来源</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如</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肉类</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鱼类和海鲜</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蛋</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类、</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奶制品等。</w:t>
            </w:r>
          </w:p>
          <w:p w14:paraId="20249F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植物性蛋白质来源：</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大</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豆类</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及其制品</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w:t>
            </w:r>
          </w:p>
          <w:p w14:paraId="6F5B0F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2.老年人蛋白质的需求</w:t>
            </w:r>
          </w:p>
          <w:p w14:paraId="08DF62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65岁及以上老年人的蛋白质</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参考</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摄入量有所增加，</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男性蛋白质参考摄入量为72g/d，女性蛋白质参考摄入量为62g/d</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w:t>
            </w:r>
          </w:p>
          <w:p w14:paraId="591449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五、糖的概述</w:t>
            </w:r>
          </w:p>
          <w:p w14:paraId="6C003F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1.碳水化合物的分类</w:t>
            </w:r>
          </w:p>
          <w:p w14:paraId="20CBE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糖分为单糖、双糖、糖醇。</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单糖</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包括葡萄糖、果糖和半乳糖。</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双糖</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包含蔗糖、乳糖、麦芽糖。</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蔗糖由葡萄糖和果糖组成，乳糖由葡萄糖和半乳糖组成，麦芽糖由两个葡萄糖分子组成。</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糖醇是单糖的重要衍生物。寡糖包括棉子糖、水苏糖、低聚果糖等。</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多糖</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包括淀粉、糖原、纤维素等。</w:t>
            </w:r>
          </w:p>
          <w:p w14:paraId="241C1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2.糖的代谢和血糖</w:t>
            </w:r>
          </w:p>
          <w:p w14:paraId="106CDF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糖在体内代谢可分为①有氧氧化为水和二氧化碳；②合成糖原；③通过代谢转变为其他糖等。</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 xml:space="preserve">血糖水平始终维持在 3.9 </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6.</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mmol/L，对于健康人群，血糖浓度低于 2.8mmol/L 时称为低血糖。高血糖是指空腹血糖高于</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正常值</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时称为高血糖。糖尿病是最常见的糖代谢紊乱疾病</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特征是持续性高血糖和糖尿</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，对人体具有重大的危害</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w:t>
            </w:r>
          </w:p>
          <w:p w14:paraId="5C9389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六、糖对老年人的作用</w:t>
            </w:r>
          </w:p>
          <w:p w14:paraId="64C4F7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能量供给：糖类是人体最重要的能量来源，尤其是大脑和红细胞几乎完全依赖葡萄糖作为能量。</w:t>
            </w:r>
          </w:p>
          <w:p w14:paraId="62AA0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构成细胞结构：糖类与蛋白质结合形成糖蛋白，是细胞膜和细胞表面的重要组成部分，参与细胞识别和信号传导。</w:t>
            </w:r>
          </w:p>
          <w:p w14:paraId="34585C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保护和润滑：体内的糖胺聚糖（如透明质酸）有助于润滑关节、保护细胞和组织，以及调节细胞间的相互作用。</w:t>
            </w:r>
          </w:p>
          <w:p w14:paraId="3BF4CB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抗生酮作用：糖类有助于防止酮症的发生，酮症是由于脂肪分解产生酮体过多而引起的一种代谢状态。</w:t>
            </w:r>
          </w:p>
          <w:p w14:paraId="74B7F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维持神经系统功能：糖类代谢产物是神经系统的重要能量来源，对维持神经系统的正常功能至关重要。</w:t>
            </w:r>
          </w:p>
          <w:p w14:paraId="37D1E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6.</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调节脂肪代谢：糖类的摄入和代谢影响脂肪的储存和利用，与体重管理和能量平衡密切相关。</w:t>
            </w:r>
          </w:p>
          <w:p w14:paraId="1AEBA1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七、老年人糖的食物来源及需求</w:t>
            </w:r>
          </w:p>
          <w:p w14:paraId="2AF641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1.糖的食物来源</w:t>
            </w:r>
          </w:p>
          <w:p w14:paraId="25E282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谷物、</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水果</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甜味剂</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加工食品和饮料等。</w:t>
            </w:r>
          </w:p>
          <w:p w14:paraId="239E9B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2.老年人糖的需求及参考值</w:t>
            </w:r>
          </w:p>
          <w:p w14:paraId="7F956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textAlignment w:val="auto"/>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65岁以上老年人碳水化合物供能以占总能量50%-65%为宜，添加糖占比不超过10%。</w:t>
            </w:r>
          </w:p>
          <w:p w14:paraId="50BEE77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top"/>
          </w:tcPr>
          <w:p w14:paraId="2B478046">
            <w:pPr>
              <w:keepNext w:val="0"/>
              <w:keepLines w:val="0"/>
              <w:suppressLineNumbers w:val="0"/>
              <w:spacing w:before="0" w:beforeAutospacing="0" w:after="0" w:afterAutospacing="0" w:line="360" w:lineRule="auto"/>
              <w:ind w:left="0" w:right="0"/>
              <w:jc w:val="left"/>
              <w:rPr>
                <w:rFonts w:hint="eastAsia" w:ascii="Times New Roman" w:hAnsi="Times New Roman" w:eastAsia="宋体"/>
                <w:b/>
                <w:sz w:val="24"/>
                <w:szCs w:val="24"/>
                <w:lang w:eastAsia="zh-CN"/>
              </w:rPr>
            </w:pPr>
            <w:r>
              <w:rPr>
                <w:rFonts w:hint="eastAsia" w:ascii="Times New Roman" w:hAnsi="Times New Roman"/>
                <w:b/>
                <w:sz w:val="24"/>
                <w:szCs w:val="24"/>
                <w:lang w:eastAsia="zh-CN"/>
              </w:rPr>
              <w:t>展示蛋白质和糖的需求知识，让学生更加仔细的阅读，从而</w:t>
            </w:r>
            <w:r>
              <w:rPr>
                <w:rFonts w:hint="eastAsia" w:ascii="Times New Roman" w:hAnsi="Times New Roman"/>
                <w:b/>
                <w:sz w:val="24"/>
                <w:szCs w:val="24"/>
              </w:rPr>
              <w:t>激发学生的学习欲望。</w:t>
            </w:r>
          </w:p>
        </w:tc>
      </w:tr>
      <w:tr w14:paraId="392EECB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6F8BB64B">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 w:val="24"/>
                <w:szCs w:val="24"/>
              </w:rPr>
              <w:t>（</w:t>
            </w:r>
            <w:r>
              <w:rPr>
                <w:rFonts w:hint="eastAsia" w:ascii="Times New Roman" w:hAnsi="Times New Roman"/>
                <w:b w:val="0"/>
                <w:bCs w:val="0"/>
                <w:sz w:val="24"/>
                <w:szCs w:val="24"/>
                <w:lang w:val="en-US" w:eastAsia="zh-CN"/>
              </w:rPr>
              <w:t>3</w:t>
            </w:r>
            <w:r>
              <w:rPr>
                <w:rFonts w:hint="eastAsia" w:ascii="Times New Roman" w:hAnsi="Times New Roman"/>
                <w:b w:val="0"/>
                <w:bCs w:val="0"/>
                <w:sz w:val="24"/>
                <w:szCs w:val="24"/>
              </w:rPr>
              <w:t>min）</w:t>
            </w:r>
          </w:p>
        </w:tc>
        <w:tc>
          <w:tcPr>
            <w:tcW w:w="5807" w:type="dxa"/>
            <w:tcBorders>
              <w:tl2br w:val="nil"/>
              <w:tr2bl w:val="nil"/>
            </w:tcBorders>
            <w:vAlign w:val="center"/>
          </w:tcPr>
          <w:p w14:paraId="1F1AEF04">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7E27EDF">
            <w:pPr>
              <w:keepNext w:val="0"/>
              <w:keepLines w:val="0"/>
              <w:suppressLineNumbers w:val="0"/>
              <w:spacing w:before="0" w:beforeAutospacing="0" w:after="0" w:afterAutospacing="0" w:line="360" w:lineRule="auto"/>
              <w:ind w:left="0" w:right="0" w:firstLine="480" w:firstLineChars="200"/>
              <w:rPr>
                <w:rFonts w:hint="eastAsia" w:hAnsi="宋体" w:eastAsia="宋体"/>
                <w:bCs/>
                <w:sz w:val="24"/>
                <w:szCs w:val="24"/>
                <w:lang w:eastAsia="zh-CN"/>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简述蛋白质和糖对于老年人的作用。</w:t>
            </w:r>
          </w:p>
        </w:tc>
        <w:tc>
          <w:tcPr>
            <w:tcW w:w="1366" w:type="dxa"/>
            <w:tcBorders>
              <w:tl2br w:val="nil"/>
              <w:tr2bl w:val="nil"/>
            </w:tcBorders>
            <w:vAlign w:val="center"/>
          </w:tcPr>
          <w:p w14:paraId="74A43886">
            <w:pPr>
              <w:keepNext w:val="0"/>
              <w:keepLines w:val="0"/>
              <w:suppressLineNumbers w:val="0"/>
              <w:spacing w:before="0" w:beforeAutospacing="0" w:after="0" w:afterAutospacing="0" w:line="360" w:lineRule="auto"/>
              <w:ind w:left="0" w:right="0"/>
              <w:jc w:val="left"/>
              <w:rPr>
                <w:rFonts w:hint="eastAsia" w:ascii="Times New Roman" w:hAnsi="Times New Roman"/>
                <w:b/>
                <w:sz w:val="24"/>
                <w:szCs w:val="24"/>
              </w:rPr>
            </w:pPr>
            <w:r>
              <w:rPr>
                <w:rFonts w:hint="eastAsia" w:ascii="Times New Roman" w:hAnsi="Times New Roman"/>
                <w:b w:val="0"/>
                <w:bCs/>
                <w:sz w:val="24"/>
                <w:szCs w:val="24"/>
              </w:rPr>
              <w:t>通过课后练习，使学生巩固所学新知识</w:t>
            </w:r>
          </w:p>
        </w:tc>
      </w:tr>
      <w:tr w14:paraId="28AD4BE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6661651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7997791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（40</w:t>
            </w:r>
            <w:r>
              <w:rPr>
                <w:rFonts w:hint="eastAsia" w:ascii="Times New Roman" w:hAnsi="Times New Roman"/>
                <w:sz w:val="24"/>
                <w:szCs w:val="24"/>
              </w:rPr>
              <w:t>min）</w:t>
            </w:r>
          </w:p>
        </w:tc>
        <w:tc>
          <w:tcPr>
            <w:tcW w:w="5807" w:type="dxa"/>
            <w:tcBorders>
              <w:tl2br w:val="nil"/>
              <w:tr2bl w:val="nil"/>
            </w:tcBorders>
            <w:vAlign w:val="center"/>
          </w:tcPr>
          <w:p w14:paraId="536D5C2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w:t>
            </w:r>
            <w:r>
              <w:rPr>
                <w:rFonts w:hint="eastAsia" w:ascii="宋体" w:hAnsi="宋体" w:cs="宋体"/>
                <w:b w:val="0"/>
                <w:bCs/>
                <w:color w:val="C00000"/>
                <w:kern w:val="2"/>
                <w:sz w:val="24"/>
                <w:szCs w:val="24"/>
                <w:lang w:val="en-US" w:eastAsia="zh-CN" w:bidi="ar"/>
              </w:rPr>
              <w:t>老年人脂类与水的需求知识</w:t>
            </w:r>
          </w:p>
          <w:p w14:paraId="17866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一、脂质的概述</w:t>
            </w:r>
          </w:p>
          <w:p w14:paraId="4914651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1.脂质的组成及结构</w:t>
            </w:r>
          </w:p>
          <w:p w14:paraId="329D752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脂质是脂肪和类脂的总称。脂肪即甘油三酯，类脂包括固醇及其酯、磷脂和糖脂等。</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脂肪酸是脂肪烃的羧酸</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甘油三酯为甘油的三个羟基分别被相同或不同的脂肪酸酯化形成的酯，其脂肪酰链组成复杂，长度和饱和度多种多样</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磷脂分子含磷酸</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胆固醇</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则</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以环戊烷多氢菲为基本结构</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p>
          <w:p w14:paraId="2BEC78C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2.脂肪酸的分类</w:t>
            </w:r>
          </w:p>
          <w:p w14:paraId="75B19B9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按碳链的长度，分为6碳以下的短链脂肪酸、8-12碳长度的中链脂肪酸和长链脂肪酸和14碳以上的长链脂肪酸。按饱和程度分饱和脂肪酸和不饱和脂肪酸，所谓不饱和即脂肪酸化学结构中含有双键。根据是否必须食物提供，分为必需脂肪酸和非需脂肪酸。按空间结构分为顺式脂肪酸和反式脂肪酸。</w:t>
            </w:r>
          </w:p>
          <w:p w14:paraId="1647F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脂类对老年人的作用</w:t>
            </w:r>
          </w:p>
          <w:p w14:paraId="022805B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甘油三酯是机体重要的能源物质</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。脂肪还具有保温、防护的作用，可以使体内热量不易外散，帮助维持体温。</w:t>
            </w:r>
          </w:p>
          <w:p w14:paraId="11911FB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2.脂肪酸具有提供必需脂肪酸、合成不饱和脂肪酸衍生物等多种功能。</w:t>
            </w:r>
          </w:p>
          <w:p w14:paraId="38A88161">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3.磷脂是重要的结构成分和信号分子。</w:t>
            </w:r>
          </w:p>
          <w:p w14:paraId="2EF6DAC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4.胆固醇是细胞膜的基本结构成，也可转化为一些具有重要生物学功能的固醇化合物。胆固醇在肝可转变为胆汁酸。</w:t>
            </w:r>
          </w:p>
          <w:p w14:paraId="2AFBE2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三、脂类的营养学评价</w:t>
            </w:r>
          </w:p>
          <w:p w14:paraId="71CDFB5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1.脂肪消化率和熔点密切相关。一般来说，含不饱和脂肪酸和短链脂肪酸多的，熔点低，易于被消化。熔点高于50℃的油脂不易被消化。</w:t>
            </w:r>
          </w:p>
          <w:p w14:paraId="50FD00E9">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2.必需脂肪酸含量与脂类的营养价值成正比，含量越多，营养价值越高。</w:t>
            </w:r>
          </w:p>
          <w:p w14:paraId="171A851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3.脂溶性维生素含量以及脂类的稳定性都是重要的考虑因素。例如，脂溶性维生素A、D、E、K需要溶解在脂肪中才能被机体吸收利用。此外，脂类的稳定性与不饱和脂肪酸的多少有关。</w:t>
            </w:r>
          </w:p>
          <w:p w14:paraId="2F686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四、老年人脂类的食物来源及需求</w:t>
            </w:r>
          </w:p>
          <w:p w14:paraId="0722A6D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1.脂肪的食物来源包括</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肉类</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奶制品</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鱼类</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植物油</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坚果。</w:t>
            </w:r>
          </w:p>
          <w:p w14:paraId="2457877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2.磷脂的食物来源包括</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蛋黄</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动物内脏</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海洋生物</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坚果。</w:t>
            </w:r>
          </w:p>
          <w:p w14:paraId="2CCCCAFE">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3.胆固醇的食物来源包括</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蛋类</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肉类</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动物内脏</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等。</w:t>
            </w:r>
          </w:p>
          <w:p w14:paraId="6B462E7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4.老年人脂类的需求及注意事项</w:t>
            </w:r>
          </w:p>
          <w:p w14:paraId="2F45F99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①</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控制总脂肪摄入量：老年人脂肪摄入量应占总能量的20-30%，以避免过量摄入导致的肥胖和心血管疾病风险。</w:t>
            </w:r>
          </w:p>
          <w:p w14:paraId="0487D38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②</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限制饱和脂肪</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酸</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和反式脂肪</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酸摄入</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：减少来自动物性食品的饱和脂肪</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酸</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和部分氢化植物油中的反式脂肪</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酸</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，这些脂肪</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酸</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可能增加心血管疾病的风险。</w:t>
            </w:r>
          </w:p>
          <w:p w14:paraId="0873C21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③</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增加不饱和脂肪</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酸的</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摄入：多摄入富含单不饱和脂肪酸和多不饱和脂肪酸的食物，如橄榄油、坚果、鱼类等，这些脂肪有助于改善血脂水平。</w:t>
            </w:r>
          </w:p>
          <w:p w14:paraId="036A12A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④</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适量摄入胆固醇：老年人应控制胆固醇的摄入量，尤其是有心血管疾病风险的老年人。</w:t>
            </w:r>
          </w:p>
          <w:p w14:paraId="1BD46FAA">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⑤</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关注必需脂肪酸：这些脂肪酸对维持细胞功能和心脑血管健康至关重要。</w:t>
            </w:r>
          </w:p>
          <w:p w14:paraId="1A89B0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五、水对老年人的重要性</w:t>
            </w:r>
          </w:p>
          <w:p w14:paraId="0BB26AE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维持细胞结构：水是细胞的主要成分，有助于维持细胞的形状和结构。</w:t>
            </w:r>
          </w:p>
          <w:p w14:paraId="5C010E0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调节体温：水通过汗液的蒸发帮助身体散热，从而调节体温。</w:t>
            </w:r>
          </w:p>
          <w:p w14:paraId="49EAEB2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运输营养物质</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排除废物：水作为血液和其他体液的主要成分，帮助运输氧气、营养物质、激素和其他必需物质到身体的各个部分。水帮助肾脏过滤废物，通过尿液将其排出体外。</w:t>
            </w:r>
          </w:p>
          <w:p w14:paraId="203481D8">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润滑关节：关节软骨和润滑液都需要水分，以减少关节之间的摩擦。</w:t>
            </w:r>
          </w:p>
          <w:p w14:paraId="50F5395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参与代谢反应：水是许多生化反应的介质，参与身体内各种代谢过程。</w:t>
            </w:r>
          </w:p>
          <w:p w14:paraId="1E1F020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（6）</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维持电解质平衡：水帮助维持体内电解质的平衡，对心脏、神经和肌肉功能至关重要。</w:t>
            </w:r>
          </w:p>
          <w:p w14:paraId="6ABDBA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六、老年人水的代谢</w:t>
            </w:r>
          </w:p>
          <w:p w14:paraId="53C6A37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水</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的</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来源</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：包括饮用水，</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食物水</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和</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代谢水（内生水）。</w:t>
            </w:r>
          </w:p>
          <w:p w14:paraId="0E180E7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水排出</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体内的水60%是通过肾脏排出，其次是经皮肤、肺和粪便</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正常人水的摄人与排出应维持动态平衡，两者应保持相等。</w:t>
            </w:r>
          </w:p>
          <w:p w14:paraId="2B96AE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七、老年人水的需求量</w:t>
            </w:r>
          </w:p>
          <w:p w14:paraId="2D0632B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老年人每天</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至少</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应饮用1.</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升的白开水或淡茶水</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，并视情况酌情增加。</w:t>
            </w:r>
          </w:p>
          <w:p w14:paraId="73C2E3D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4"/>
                <w:szCs w:val="24"/>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top"/>
          </w:tcPr>
          <w:p w14:paraId="7864B12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
                <w:sz w:val="24"/>
                <w:szCs w:val="24"/>
              </w:rPr>
              <w:t>通过教师讲解，了解</w:t>
            </w:r>
            <w:r>
              <w:rPr>
                <w:rFonts w:hint="eastAsia" w:ascii="Times New Roman" w:hAnsi="Times New Roman"/>
                <w:b/>
                <w:sz w:val="24"/>
                <w:szCs w:val="24"/>
                <w:lang w:eastAsia="zh-CN"/>
              </w:rPr>
              <w:t>老年人脂类与水的需求</w:t>
            </w:r>
            <w:r>
              <w:rPr>
                <w:rFonts w:hint="eastAsia" w:ascii="Times New Roman" w:hAnsi="Times New Roman"/>
                <w:b/>
                <w:sz w:val="24"/>
                <w:szCs w:val="24"/>
                <w:lang w:val="en-US" w:eastAsia="zh-CN"/>
              </w:rPr>
              <w:t>知</w:t>
            </w:r>
            <w:r>
              <w:rPr>
                <w:rFonts w:hint="eastAsia" w:ascii="Times New Roman" w:hAnsi="Times New Roman"/>
                <w:b/>
                <w:sz w:val="24"/>
                <w:szCs w:val="24"/>
              </w:rPr>
              <w:t>识。</w:t>
            </w:r>
          </w:p>
        </w:tc>
      </w:tr>
      <w:tr w14:paraId="7DC5B49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7074CA3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1A1C2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eastAsia" w:ascii="Times New Roman" w:hAnsi="Times New Roman" w:cs="Times New Roman"/>
                <w:kern w:val="2"/>
                <w:sz w:val="24"/>
                <w:szCs w:val="24"/>
                <w:lang w:val="en-US" w:eastAsia="zh-CN" w:bidi="ar"/>
              </w:rPr>
              <w:t>3</w:t>
            </w:r>
            <w:r>
              <w:rPr>
                <w:rFonts w:hint="default" w:ascii="Times New Roman" w:hAnsi="Times New Roman" w:eastAsia="宋体" w:cs="Times New Roman"/>
                <w:kern w:val="2"/>
                <w:sz w:val="24"/>
                <w:szCs w:val="24"/>
                <w:lang w:val="en-US" w:eastAsia="zh-CN" w:bidi="ar"/>
              </w:rPr>
              <w:t>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1E1F029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EBF2CBE">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宋体" w:hAnsi="宋体" w:eastAsia="宋体" w:cs="宋体"/>
                <w:b/>
                <w:bCs w:val="0"/>
                <w:kern w:val="2"/>
                <w:sz w:val="24"/>
                <w:szCs w:val="24"/>
                <w:lang w:val="en-US" w:eastAsia="zh-CN" w:bidi="ar"/>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2"/>
                <w:sz w:val="24"/>
                <w:szCs w:val="24"/>
                <w:lang w:val="en-US" w:eastAsia="zh-CN" w:bidi="ar"/>
              </w:rPr>
              <w:t>老年人脂类和水的需求相关知识，特别强调了脂类和水对于老年人的生理功能和需求量。</w:t>
            </w:r>
          </w:p>
        </w:tc>
        <w:tc>
          <w:tcPr>
            <w:tcW w:w="1366" w:type="dxa"/>
            <w:tcBorders>
              <w:tl2br w:val="nil"/>
              <w:tr2bl w:val="nil"/>
            </w:tcBorders>
            <w:vAlign w:val="center"/>
          </w:tcPr>
          <w:p w14:paraId="1B253B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30C22C7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75C41231">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4"/>
                <w:szCs w:val="24"/>
                <w:lang w:val="en-US" w:eastAsia="zh-CN" w:bidi="ar"/>
              </w:rPr>
              <w:t>（</w:t>
            </w:r>
            <w:r>
              <w:rPr>
                <w:rFonts w:hint="eastAsia" w:ascii="Times New Roman" w:hAnsi="Times New Roman" w:cs="Times New Roman"/>
                <w:b w:val="0"/>
                <w:bCs w:val="0"/>
                <w:kern w:val="2"/>
                <w:sz w:val="24"/>
                <w:szCs w:val="24"/>
                <w:lang w:val="en-US" w:eastAsia="zh-CN" w:bidi="ar"/>
              </w:rPr>
              <w:t>2</w:t>
            </w:r>
            <w:r>
              <w:rPr>
                <w:rFonts w:hint="default" w:ascii="Times New Roman" w:hAnsi="Times New Roman" w:eastAsia="宋体" w:cs="Times New Roman"/>
                <w:b w:val="0"/>
                <w:bCs w:val="0"/>
                <w:kern w:val="2"/>
                <w:sz w:val="24"/>
                <w:szCs w:val="24"/>
                <w:lang w:val="en-US" w:eastAsia="zh-CN" w:bidi="ar"/>
              </w:rPr>
              <w:t>min</w:t>
            </w:r>
            <w:r>
              <w:rPr>
                <w:rFonts w:hint="eastAsia" w:ascii="宋体" w:hAnsi="宋体" w:eastAsia="宋体" w:cs="宋体"/>
                <w:b w:val="0"/>
                <w:bCs w:val="0"/>
                <w:kern w:val="2"/>
                <w:sz w:val="24"/>
                <w:szCs w:val="24"/>
                <w:lang w:val="en-US" w:eastAsia="zh-CN" w:bidi="ar"/>
              </w:rPr>
              <w:t>）</w:t>
            </w:r>
          </w:p>
        </w:tc>
        <w:tc>
          <w:tcPr>
            <w:tcW w:w="5807" w:type="dxa"/>
            <w:tcBorders>
              <w:tl2br w:val="nil"/>
              <w:tr2bl w:val="nil"/>
            </w:tcBorders>
            <w:vAlign w:val="center"/>
          </w:tcPr>
          <w:p w14:paraId="54149AF7">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4"/>
                <w:szCs w:val="24"/>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布置课后作业</w:t>
            </w:r>
          </w:p>
          <w:p w14:paraId="480A5C07">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Calibri" w:hAnsi="宋体" w:eastAsia="宋体" w:cs="Times New Roman"/>
                <w:bCs/>
                <w:kern w:val="2"/>
                <w:sz w:val="24"/>
                <w:szCs w:val="24"/>
                <w:lang w:val="en-US" w:eastAsia="zh-CN" w:bidi="ar-SA"/>
              </w:rPr>
            </w:pPr>
            <w:r>
              <w:rPr>
                <w:rFonts w:hint="eastAsia" w:hAnsi="宋体" w:cs="Times New Roman"/>
                <w:b/>
                <w:bCs w:val="0"/>
                <w:kern w:val="2"/>
                <w:sz w:val="24"/>
                <w:szCs w:val="24"/>
                <w:lang w:val="en-US" w:eastAsia="zh-CN" w:bidi="ar-SA"/>
              </w:rPr>
              <w:t>简述脂类和水对于老年人的作用。</w:t>
            </w:r>
          </w:p>
        </w:tc>
        <w:tc>
          <w:tcPr>
            <w:tcW w:w="1366" w:type="dxa"/>
            <w:tcBorders>
              <w:tl2br w:val="nil"/>
              <w:tr2bl w:val="nil"/>
            </w:tcBorders>
            <w:vAlign w:val="center"/>
          </w:tcPr>
          <w:p w14:paraId="1E3B54E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val="0"/>
                <w:bCs/>
                <w:kern w:val="2"/>
                <w:sz w:val="24"/>
                <w:szCs w:val="24"/>
                <w:lang w:val="en-US" w:eastAsia="zh-CN" w:bidi="ar"/>
              </w:rPr>
              <w:t>通过课后练习，使学生巩固所学新知识</w:t>
            </w:r>
          </w:p>
        </w:tc>
      </w:tr>
      <w:tr w14:paraId="34535BA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3906783F">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6CECCEC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展示老年人的矿物元素需求</w:t>
            </w:r>
          </w:p>
          <w:p w14:paraId="068F98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一、矿物元素概述</w:t>
            </w:r>
          </w:p>
          <w:p w14:paraId="2923D18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无机元素对维持人体正常生理功能必不可少，按人体每日需要量可分为微量元素和常量元素。微量元素在人体中</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含</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量低于人体体重的0.01%</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，其</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绝大多数为金属元素，主要包括铁、碘、铜、锌、锰、硒等。微量元素在体内一般结合成化合物或络合物，广泛分布于各组织中，含量较恒定。常量元素</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含量超过</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人体体重的0.01%，主要有钠、钾、氯、钙、磷、镁等。</w:t>
            </w:r>
          </w:p>
          <w:p w14:paraId="5D7F34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二、常见的矿物元素与老年人</w:t>
            </w:r>
          </w:p>
          <w:p w14:paraId="45F5CC3F">
            <w:pPr>
              <w:keepNext w:val="0"/>
              <w:keepLines w:val="0"/>
              <w:suppressLineNumbers w:val="0"/>
              <w:spacing w:before="0" w:beforeAutospacing="0" w:after="0" w:afterAutospacing="0" w:line="360" w:lineRule="auto"/>
              <w:ind w:left="0" w:right="0"/>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钙</w:t>
            </w:r>
          </w:p>
          <w:p w14:paraId="4F54D4A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1.钙对老年人的作用</w:t>
            </w:r>
          </w:p>
          <w:p w14:paraId="6DE575AB">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（1）肌肉收缩：钙离子在骨骼肌和心肌的收缩过程中发挥关键作用。肌肉细胞受到刺激时，钙离子从肌浆网释放，促进肌肉收缩。钙离子浓度的变化是肌肉收缩的基本条件。</w:t>
            </w:r>
          </w:p>
          <w:p w14:paraId="1A7F69E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（2）神经传导：在神经系统中，钙离子作为信号分子，参与神经递质的释放和神经信号的传递。动作电位到达突触前末端时，钙离子通道开放，钙离子流入触发神经递质释放。</w:t>
            </w:r>
          </w:p>
          <w:p w14:paraId="78CF7AEE">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（3）血液凝固：钙离子参与多种凝血酶原复合物的形成和激活，帮助止血。</w:t>
            </w:r>
          </w:p>
          <w:p w14:paraId="424CBBD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（4）骨骼健康：钙是骨骼和牙齿的主要成分，维持骨骼的强度和硬度。钙离子的沉积和代谢对骨骼健康至关重要。</w:t>
            </w:r>
          </w:p>
          <w:p w14:paraId="3A0BCA4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（5）细胞信号传递：钙离子作为第二信使，在细胞内信号传递过程中起关键作用，调节多种生理过程，如酶的活性、基因表达和细胞增殖。</w:t>
            </w:r>
          </w:p>
          <w:p w14:paraId="4E40852D">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（6）激素调节：钙离子参与调节体内多种激素的活性，如甲状旁腺激素、降钙素等，这些激素帮助维持血钙水平的稳定。</w:t>
            </w:r>
          </w:p>
          <w:p w14:paraId="52E1EC46">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2.老年人钙的食物来源</w:t>
            </w:r>
          </w:p>
          <w:p w14:paraId="3C27B61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奶制品</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豆制品</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鱼类。</w:t>
            </w:r>
          </w:p>
          <w:p w14:paraId="118C00E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3.老年人钙需求及注意事项</w:t>
            </w:r>
          </w:p>
          <w:p w14:paraId="70EC31F1">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50岁以上人群的推荐钙摄入量统一调整为800毫克/天。补钙时还应同时补充维生素D，以促进钙的吸收。</w:t>
            </w:r>
          </w:p>
          <w:p w14:paraId="3D7C3DF8">
            <w:pPr>
              <w:keepNext w:val="0"/>
              <w:keepLines w:val="0"/>
              <w:suppressLineNumbers w:val="0"/>
              <w:spacing w:before="0" w:beforeAutospacing="0" w:after="0" w:afterAutospacing="0" w:line="360" w:lineRule="auto"/>
              <w:ind w:left="0" w:right="0"/>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钠</w:t>
            </w:r>
          </w:p>
          <w:p w14:paraId="32E8CC3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1.钠对老年人的作用</w:t>
            </w:r>
          </w:p>
          <w:p w14:paraId="2A2D923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维持体液平衡</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维持细胞外液容量：钠是细胞外液中的主要阳离子，钠离子在细胞外液中的浓度对细胞外液的容量有直接影响，进而影响血压和体液的分布 。</w:t>
            </w:r>
          </w:p>
          <w:p w14:paraId="03D7E9F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参与神经传导：钠离子在神经传导过程中起着关键作用。当神经细胞受到刺激时，钠离子会迅速流入细胞内</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导致细胞膜电位变化，进而触发神经冲动的产生和传</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导</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w:t>
            </w:r>
          </w:p>
          <w:p w14:paraId="6714147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参与肌肉收缩：钠离子还参与肌肉收缩过程，在肌肉细胞中，钠离子与钾离子、钙离子等共同调节肌肉细胞的兴奋性和收缩性，以确保肌肉能够正常收缩和放松。</w:t>
            </w:r>
          </w:p>
          <w:p w14:paraId="721A8C0D">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参与酸碱平衡：钠离子在肾小管中重吸收，与H+离子交换，帮助清除体内的二氧化碳，保持体液的酸碱度恒定，维持pH及碳酸氢盐浓度正常。</w:t>
            </w:r>
          </w:p>
          <w:p w14:paraId="2F695F6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2.老年人钠的食物来源</w:t>
            </w:r>
          </w:p>
          <w:p w14:paraId="6470049E">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食盐</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、调味品、含盐的加工食品</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p>
          <w:p w14:paraId="16733E29">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3.老年人钠的需求及参考值</w:t>
            </w:r>
          </w:p>
          <w:p w14:paraId="2A5281BE">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老年人食盐摄入＜6g为宜。</w:t>
            </w:r>
          </w:p>
          <w:p w14:paraId="3B17E77E">
            <w:pPr>
              <w:keepNext w:val="0"/>
              <w:keepLines w:val="0"/>
              <w:suppressLineNumbers w:val="0"/>
              <w:spacing w:before="0" w:beforeAutospacing="0" w:after="0" w:afterAutospacing="0" w:line="360" w:lineRule="auto"/>
              <w:ind w:left="0" w:right="0"/>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钾</w:t>
            </w:r>
          </w:p>
          <w:p w14:paraId="7A3C18B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1.钾对老年人的作用</w:t>
            </w:r>
          </w:p>
          <w:p w14:paraId="2E3E6585">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维持细胞内液的渗透压：钾离子主要存在于细胞内液中，有助于维持细胞内的渗透压，保证细胞的正常形态。</w:t>
            </w:r>
          </w:p>
          <w:p w14:paraId="1FE33E05">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调节酸碱平衡：钾离子与钠离子、碳酸氢根离子等一起参与体内的酸碱平衡调节。</w:t>
            </w:r>
          </w:p>
          <w:p w14:paraId="1C754E7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参与神经冲动传导：钾离子在神经细胞的静息电位维持中起着关键作用，对于神经冲动的产生和传导至关重要。</w:t>
            </w:r>
          </w:p>
          <w:p w14:paraId="6816E93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支持肌肉功能：钾离子对于肌肉细胞的兴奋性和收缩性具有调节作用，包括心肌和骨骼肌。</w:t>
            </w:r>
          </w:p>
          <w:p w14:paraId="1B1F6C5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降低血压：钾离子有助于通过促进钠的排泄来降低血压，对于预防和控制高血压具有积极作用。</w:t>
            </w:r>
          </w:p>
          <w:p w14:paraId="1DA77B1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2.老年人钾的食物来源</w:t>
            </w:r>
          </w:p>
          <w:p w14:paraId="7D250C8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大多数食物都含有钾，水果和蔬菜是钾最好的来源。</w:t>
            </w:r>
          </w:p>
          <w:p w14:paraId="61C9487D">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3.老年人的钾需求及注意事项</w:t>
            </w:r>
          </w:p>
          <w:p w14:paraId="11543B8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健康人每日应摄入2000mg钾元素</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。注意适量摄入，避免过量。同时，定期进行健康检查，包括检测血液中钾元素的水平。</w:t>
            </w:r>
          </w:p>
          <w:p w14:paraId="4E263438">
            <w:pPr>
              <w:keepNext w:val="0"/>
              <w:keepLines w:val="0"/>
              <w:suppressLineNumbers w:val="0"/>
              <w:spacing w:before="0" w:beforeAutospacing="0" w:after="0" w:afterAutospacing="0" w:line="360" w:lineRule="auto"/>
              <w:ind w:left="0" w:right="0" w:firstLine="482" w:firstLineChars="200"/>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铁</w:t>
            </w:r>
          </w:p>
          <w:p w14:paraId="7147B15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1.铁对老年人的作用</w:t>
            </w:r>
          </w:p>
          <w:p w14:paraId="1068952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（1）血红蛋白的组成成分：铁是血红蛋白的必需成分，血红蛋白是红细胞中运输氧气的主要蛋白质。铁在血红蛋白中起到携带和释放氧气的作用。</w:t>
            </w:r>
          </w:p>
          <w:p w14:paraId="0B08FFD8">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（2）肌红蛋白的组成：肌红蛋白是肌肉细胞中的一种蛋白质，负责储存和释放氧气，以供肌肉在需要时使用。铁也是肌红蛋白的组成部分。</w:t>
            </w:r>
          </w:p>
          <w:p w14:paraId="0528F52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（3）参与能量代谢：铁是许多酶的辅因子，这些酶参与了细胞内的能量代谢过程，如线粒体的电子传递链和氧化磷酸化。</w:t>
            </w:r>
          </w:p>
          <w:p w14:paraId="01A69931">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2.老年人铁的食物来源</w:t>
            </w:r>
          </w:p>
          <w:p w14:paraId="566DB21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肉类、蛋类及一些蔬菜。</w:t>
            </w:r>
          </w:p>
          <w:p w14:paraId="320D43E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3.老年人铁的需求及注意事项</w:t>
            </w:r>
          </w:p>
          <w:p w14:paraId="0A35CA8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铁推荐摄入量</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老年</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男性</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65岁以上</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为</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12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毫克/天，</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65岁以上</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女性为</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10</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毫克/天</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。建议与富含维生素C的食物一起食用。</w:t>
            </w:r>
          </w:p>
          <w:p w14:paraId="24C628D1">
            <w:pPr>
              <w:keepNext w:val="0"/>
              <w:keepLines w:val="0"/>
              <w:suppressLineNumbers w:val="0"/>
              <w:spacing w:before="0" w:beforeAutospacing="0" w:after="0" w:afterAutospacing="0" w:line="360" w:lineRule="auto"/>
              <w:ind w:left="0" w:right="0" w:firstLine="482" w:firstLineChars="200"/>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碘</w:t>
            </w:r>
          </w:p>
          <w:p w14:paraId="0DC16C21">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1.碘对老年人的作用</w:t>
            </w:r>
          </w:p>
          <w:p w14:paraId="7D9FA8AA">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甲状腺激素的合成：碘是甲状腺激素的主要成分，这些激素对于调节新陈代谢、促进生长发育、影响神经系统功能等方面发挥着关键作用。</w:t>
            </w:r>
          </w:p>
          <w:p w14:paraId="6EB7E75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能量代谢：甲状腺激素参与调节身体的能量代谢，影响基础代谢率。</w:t>
            </w:r>
          </w:p>
          <w:p w14:paraId="22CADC5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维持体温：甲状腺激素有助于维持体温，通过调节新陈代谢来影响体温的保持。</w:t>
            </w:r>
          </w:p>
          <w:p w14:paraId="74F7E72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2.老年人碘的食物来源</w:t>
            </w:r>
          </w:p>
          <w:p w14:paraId="2D32001F">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海产品：海产品是碘的主要来源，尤其是海带、紫菜、海苔、海蜇、龙虾、虾皮、贝类等。</w:t>
            </w:r>
          </w:p>
          <w:p w14:paraId="3E860C0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3.老年人的碘需求及注意事项</w:t>
            </w:r>
          </w:p>
          <w:p w14:paraId="58A13FB7">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65岁以上老年人每日碘的推荐摄入量为120微克，平均每日可耐受最高摄入量为600微克。</w:t>
            </w:r>
          </w:p>
          <w:p w14:paraId="493E4CFD">
            <w:pPr>
              <w:keepNext w:val="0"/>
              <w:keepLines w:val="0"/>
              <w:suppressLineNumbers w:val="0"/>
              <w:spacing w:before="0" w:beforeAutospacing="0" w:after="0" w:afterAutospacing="0" w:line="360" w:lineRule="auto"/>
              <w:ind w:left="0" w:right="0" w:firstLine="482" w:firstLineChars="200"/>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硒</w:t>
            </w:r>
          </w:p>
          <w:p w14:paraId="649A869A">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1.硒对老年人的作用</w:t>
            </w:r>
          </w:p>
          <w:p w14:paraId="67DFD52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抗氧化作用：硒是谷胱甘肽过氧化物酶等抗氧化酶的必需组成成分，这些酶能够清除体内的过氧化物和自由基，保护细胞膜不受氧化损伤。</w:t>
            </w:r>
          </w:p>
          <w:p w14:paraId="38C08E4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免疫功能：硒对维持正常的免疫功能具有重要作用，能够增强淋巴细胞的增殖和分化，提高抗体的产生，增强巨噬细胞的吞噬能力。</w:t>
            </w:r>
          </w:p>
          <w:p w14:paraId="4CEBB25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保护心血管：硒有助于降低心血管疾病的风险，可能通过抗氧化和抗炎作用保护血管内皮细胞。</w:t>
            </w:r>
          </w:p>
          <w:p w14:paraId="763E0775">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抗肿瘤作用：硒具有一定的抗肿瘤作用，可能通过抑制癌细胞的生长和分化，增强免疫系统对肿瘤的监控和清除能力。</w:t>
            </w:r>
          </w:p>
          <w:p w14:paraId="7EC86CC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拮抗重金属：硒能够与体内的重金属如汞、铅等结合，形成不易被吸收的化合物，从而减少这些有毒金属对身体的伤害。</w:t>
            </w:r>
          </w:p>
          <w:p w14:paraId="4E82AC8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2.老年人硒的食物来源</w:t>
            </w:r>
          </w:p>
          <w:p w14:paraId="57FC56ED">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硒的主要食物来源包括海产品（如沙丁鱼、金枪鱼等）、动物内脏（如鸭肝、猪肝等）、瘦肉。</w:t>
            </w:r>
          </w:p>
          <w:p w14:paraId="5477FA29">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3.老年人硒的需求及注意事项</w:t>
            </w:r>
          </w:p>
          <w:p w14:paraId="6F954E66">
            <w:pPr>
              <w:keepNext w:val="0"/>
              <w:keepLines w:val="0"/>
              <w:suppressLineNumbers w:val="0"/>
              <w:spacing w:before="0" w:beforeAutospacing="0" w:after="0" w:afterAutospacing="0" w:line="360" w:lineRule="auto"/>
              <w:ind w:left="0" w:right="0" w:firstLine="480" w:firstLineChars="200"/>
              <w:rPr>
                <w:rFonts w:hint="eastAsia" w:ascii="宋体" w:hAnsi="宋体" w:eastAsia="宋体" w:cs="宋体"/>
                <w:b w:val="0"/>
                <w:bCs/>
                <w:color w:val="C00000"/>
                <w:kern w:val="2"/>
                <w:sz w:val="24"/>
                <w:szCs w:val="24"/>
                <w:lang w:val="en-US" w:eastAsia="zh-CN" w:bidi="ar"/>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每日推荐摄入的硒量为60微克，最高可耐受摄入量为400微克。</w:t>
            </w:r>
          </w:p>
          <w:p w14:paraId="76ECB8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top"/>
          </w:tcPr>
          <w:p w14:paraId="7A5483DD">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讲解</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学生了解</w:t>
            </w:r>
            <w:r>
              <w:rPr>
                <w:rFonts w:hint="eastAsia" w:ascii="Times New Roman" w:hAnsi="Times New Roman"/>
                <w:b/>
                <w:sz w:val="24"/>
                <w:szCs w:val="24"/>
                <w:lang w:eastAsia="zh-CN"/>
              </w:rPr>
              <w:t>老年人矿物元素需求的基础</w:t>
            </w:r>
            <w:r>
              <w:rPr>
                <w:rFonts w:hint="eastAsia" w:ascii="Times New Roman" w:hAnsi="Times New Roman"/>
                <w:b/>
                <w:sz w:val="24"/>
                <w:szCs w:val="24"/>
              </w:rPr>
              <w:t>知识。</w:t>
            </w:r>
          </w:p>
        </w:tc>
      </w:tr>
      <w:tr w14:paraId="2733379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3FEB6669">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7C8729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2CD3971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A0E7B35">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0"/>
                <w:sz w:val="24"/>
                <w:szCs w:val="24"/>
                <w:lang w:val="en-US" w:eastAsia="zh-CN" w:bidi="ar"/>
              </w:rPr>
              <w:t>这节课我们一起学习了老年人矿物元素的需求，掌握了不同矿物元素对于老年人的生理作用。</w:t>
            </w:r>
          </w:p>
        </w:tc>
        <w:tc>
          <w:tcPr>
            <w:tcW w:w="1366" w:type="dxa"/>
            <w:tcBorders>
              <w:tl2br w:val="nil"/>
              <w:tr2bl w:val="nil"/>
            </w:tcBorders>
            <w:vAlign w:val="center"/>
          </w:tcPr>
          <w:p w14:paraId="762250C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B8D6E3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10AD11FD">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05085F6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45FC56C2">
            <w:pPr>
              <w:keepNext w:val="0"/>
              <w:keepLines w:val="0"/>
              <w:widowControl w:val="0"/>
              <w:suppressLineNumbers w:val="0"/>
              <w:spacing w:before="0" w:beforeAutospacing="0" w:after="0" w:afterAutospacing="0" w:line="360" w:lineRule="auto"/>
              <w:ind w:left="0" w:leftChars="0" w:right="0" w:rightChars="0" w:firstLine="482" w:firstLineChars="20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简述钙、钠、钾、铁元素对于老年人的作用</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453FFEE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457963B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53504BDE">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 w:val="24"/>
                <w:szCs w:val="24"/>
              </w:rPr>
              <w:t>（45</w:t>
            </w:r>
            <w:r>
              <w:rPr>
                <w:rFonts w:hint="eastAsia" w:ascii="Times New Roman" w:hAnsi="Times New Roman"/>
                <w:sz w:val="24"/>
                <w:szCs w:val="24"/>
              </w:rPr>
              <w:t>min</w:t>
            </w:r>
            <w:r>
              <w:rPr>
                <w:rFonts w:hint="default" w:ascii="Times New Roman" w:hAnsi="Times New Roman"/>
                <w:sz w:val="24"/>
                <w:szCs w:val="24"/>
              </w:rPr>
              <w:t>）</w:t>
            </w:r>
          </w:p>
        </w:tc>
        <w:tc>
          <w:tcPr>
            <w:tcW w:w="5807" w:type="dxa"/>
            <w:tcBorders>
              <w:tl2br w:val="nil"/>
              <w:tr2bl w:val="nil"/>
            </w:tcBorders>
            <w:vAlign w:val="center"/>
          </w:tcPr>
          <w:p w14:paraId="5C3F5102">
            <w:pPr>
              <w:keepNext w:val="0"/>
              <w:keepLines w:val="0"/>
              <w:suppressLineNumbers w:val="0"/>
              <w:spacing w:before="0" w:beforeAutospacing="0" w:after="0" w:afterAutospacing="0"/>
              <w:ind w:left="0" w:right="0"/>
              <w:rPr>
                <w:rFonts w:hint="eastAsia" w:ascii="宋体" w:hAnsi="宋体" w:eastAsia="宋体" w:cs="宋体"/>
                <w:b w:val="0"/>
                <w:bCs/>
                <w:color w:val="C00000"/>
                <w:kern w:val="2"/>
                <w:sz w:val="24"/>
                <w:szCs w:val="24"/>
                <w:lang w:val="en-US" w:eastAsia="zh-CN" w:bidi="ar"/>
              </w:rPr>
            </w:pPr>
            <w:r>
              <w:rPr>
                <w:rFonts w:hint="eastAsia" w:ascii="宋体" w:hAnsi="宋体" w:eastAsia="宋体" w:cs="宋体"/>
                <w:b/>
                <w:bCs w:val="0"/>
                <w:color w:val="C00000"/>
                <w:kern w:val="2"/>
                <w:sz w:val="24"/>
                <w:szCs w:val="24"/>
                <w:lang w:val="en-US" w:eastAsia="zh-CN" w:bidi="ar"/>
              </w:rPr>
              <w:t>【教师】</w:t>
            </w:r>
            <w:r>
              <w:rPr>
                <w:rFonts w:hint="eastAsia" w:ascii="宋体" w:hAnsi="宋体" w:eastAsia="宋体" w:cs="宋体"/>
                <w:b w:val="0"/>
                <w:bCs/>
                <w:color w:val="C00000"/>
                <w:kern w:val="2"/>
                <w:sz w:val="24"/>
                <w:szCs w:val="24"/>
                <w:lang w:val="en-US" w:eastAsia="zh-CN" w:bidi="ar"/>
              </w:rPr>
              <w:t>展示老年人的维生素</w:t>
            </w:r>
            <w:r>
              <w:rPr>
                <w:rFonts w:hint="eastAsia" w:ascii="宋体" w:hAnsi="宋体" w:cs="宋体"/>
                <w:b w:val="0"/>
                <w:bCs/>
                <w:color w:val="C00000"/>
                <w:kern w:val="2"/>
                <w:sz w:val="24"/>
                <w:szCs w:val="24"/>
                <w:lang w:val="en-US" w:eastAsia="zh-CN" w:bidi="ar"/>
              </w:rPr>
              <w:t>和膳食纤维的</w:t>
            </w:r>
            <w:r>
              <w:rPr>
                <w:rFonts w:hint="eastAsia" w:ascii="宋体" w:hAnsi="宋体" w:eastAsia="宋体" w:cs="宋体"/>
                <w:b w:val="0"/>
                <w:bCs/>
                <w:color w:val="C00000"/>
                <w:kern w:val="2"/>
                <w:sz w:val="24"/>
                <w:szCs w:val="24"/>
                <w:lang w:val="en-US" w:eastAsia="zh-CN" w:bidi="ar"/>
              </w:rPr>
              <w:t>需求</w:t>
            </w:r>
          </w:p>
          <w:p w14:paraId="4F5D7A4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一、维生素概述</w:t>
            </w:r>
          </w:p>
          <w:p w14:paraId="08E84DB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维生素是维持正常生命活动的一类低分子量有机化合物，是人体的重要营养素之一。维生素在调节人体物质代谢、生长发育和维持正常生理功能等方面发挥着重要的作用。如果人体长期摄入不足或吸收障碍，可致维生素缺乏症；若人体长期过量摄取某些维生素，也可导致维生素中毒。按照维生素溶解特性的不同，可分为脂溶性维生素和水溶性维生素两大类。</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脂溶性维生素主要包括维生素</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A、D、K、E。水溶性维生素包括 B 族维生素和维生素 C。</w:t>
            </w:r>
          </w:p>
          <w:p w14:paraId="0F108CD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二、常见维生素与老年人</w:t>
            </w:r>
          </w:p>
          <w:p w14:paraId="679262AB">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维生素A</w:t>
            </w:r>
          </w:p>
          <w:p w14:paraId="10B05D6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1.维生素A对老年人的作用</w:t>
            </w:r>
          </w:p>
          <w:p w14:paraId="1BD0919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视力保护：维生素A对眼睛健康至关重要，它有助于维持视网膜的正常功能，促进感光细胞（视紫红质）的合成，从而帮助我们在光线较暗的环境中看清楚。</w:t>
            </w:r>
          </w:p>
          <w:p w14:paraId="244DB58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细胞生长和分化：维生素A参与细胞的生长和分化，对上皮组织的健康尤为重要，。</w:t>
            </w:r>
          </w:p>
          <w:p w14:paraId="28DEB88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维生素A和胡萝卜素是有效的抗氧化剂 维生素A和胡萝卜素是机体一种有效的捕获活性氧的抗氧化剂，具有清除</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自由基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和</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保护生物膜</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的作用。</w:t>
            </w:r>
          </w:p>
          <w:p w14:paraId="2C91B75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2.老年人维生素A的需求及注意事项</w:t>
            </w:r>
          </w:p>
          <w:p w14:paraId="1B9AF1C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老年人对维生素 A 的每日推荐摄入量为</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730</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 xml:space="preserve"> 微克视黄醇活性当量</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不要超过可耐受最高摄入量每天3000微克视黄醇活性当量。</w:t>
            </w:r>
          </w:p>
          <w:p w14:paraId="76362A70">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维生素D</w:t>
            </w:r>
          </w:p>
          <w:p w14:paraId="014FBE4B">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1.维生素D对老年人的作用</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ab/>
            </w:r>
          </w:p>
          <w:p w14:paraId="12F7F66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调节钙、磷代谢</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通过信号转导系统使钙通道开放，发挥其对钙、磷代谢的快速调节作用。此外</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可</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促进小肠对钙、磷的吸收，影响骨组织的钙代谢，从而维持血钙和血磷的正常水平，促进骨和牙的钙化。</w:t>
            </w:r>
          </w:p>
          <w:p w14:paraId="447F0B99">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影响细胞分化</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：维生素D通过维生素D受体调节细胞的增殖和分化，对维持组织健康至关重要。</w:t>
            </w:r>
          </w:p>
          <w:p w14:paraId="424E8A7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防癌作用：一些研究表明维生素D可能有助于预防某些类型的癌症，如结肠癌、乳腺癌。</w:t>
            </w:r>
          </w:p>
          <w:p w14:paraId="28F04F6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2.老年人维生素D的需求及注意事项</w:t>
            </w:r>
          </w:p>
          <w:p w14:paraId="532122E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65岁以上老年人维生素D的推荐摄入量为15μg/d（600IU）。</w:t>
            </w:r>
          </w:p>
          <w:p w14:paraId="4EBEC91E">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维生素E</w:t>
            </w:r>
          </w:p>
          <w:p w14:paraId="6D60963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1.维生素E对老年人的作用</w:t>
            </w:r>
          </w:p>
          <w:p w14:paraId="4A58290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抗氧化作用：维生素E是一种强效的抗氧化剂，能够保护细胞膜免受自由基的损害，从而预防细胞损伤和老化。</w:t>
            </w:r>
          </w:p>
          <w:p w14:paraId="4E008FE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保护细胞膜：由于维生素E能够保护细胞膜不受氧化，它有助于维持细胞的正常结构和功能。</w:t>
            </w:r>
          </w:p>
          <w:p w14:paraId="4A9D2DC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促进免疫功能：维生素E对免疫系统有积极的影响，有助于增强身体的抵抗力。</w:t>
            </w:r>
          </w:p>
          <w:p w14:paraId="5BDCDAA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促进生殖健康：维生素E对男性和女性的生殖健康都很重要。它有助于提高精子的质量和数量，同时也对女性的生育能力有积极作用。</w:t>
            </w:r>
          </w:p>
          <w:p w14:paraId="072B635E">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进血红素的合成</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维生素 E 能提高血红素合成的关键酶活性，从而促进血红素的合成。</w:t>
            </w:r>
          </w:p>
          <w:p w14:paraId="411D6EFA">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2.老年人维生素E的需求及注意事项</w:t>
            </w:r>
          </w:p>
          <w:p w14:paraId="39834609">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老年人的维生素E每日适宜摄入量为14毫克。这个摄入量可以满足大多数老年人的需求，但具体摄入量可能因个体差异而有所不同。</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中国成人可耐受的最高摄入量是</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每日7</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00</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毫克。</w:t>
            </w:r>
          </w:p>
          <w:p w14:paraId="4196A08D">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维生素K</w:t>
            </w:r>
          </w:p>
          <w:p w14:paraId="2808BEE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1.维生素K对老年人的作用</w:t>
            </w:r>
          </w:p>
          <w:p w14:paraId="628929B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促进凝血：维生素K是多种凝血因子在肝脏内合成的必需物质。缺乏维生素K会导致凝血时间延长，严重时可能导致出血不止，甚至死亡。</w:t>
            </w:r>
          </w:p>
          <w:p w14:paraId="24B6D54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参与骨骼代谢：</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研究表明，服用低剂量维生素K</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后，</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股骨颈和脊柱的骨密度明显低于服用大剂量维生素K时的骨密度</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对老年人来说，骨密度和维生素K呈正相关。经常摄入含维生素K的</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食物</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，能有效降低骨折的风险。</w:t>
            </w:r>
          </w:p>
          <w:p w14:paraId="285FCB34">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维持心血管健康：维生素K有助于防止动脉钙化，这有助于预防心脏病和中风。在动脉组织中，依赖于维生素K的蛋白质可以帮助防止钙化。</w:t>
            </w:r>
          </w:p>
          <w:p w14:paraId="7D6A216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2.老年人维生素K的需求及参考值注意事项</w:t>
            </w:r>
          </w:p>
          <w:p w14:paraId="6DCEA77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中国成人膳食维生素K的适宜摄入量（AI）为80ug/d。</w:t>
            </w:r>
          </w:p>
          <w:p w14:paraId="7EF78527">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B族维生素</w:t>
            </w:r>
          </w:p>
          <w:p w14:paraId="4B1EBA2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不同的B族维生素有不同功能，列表比较。</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7"/>
              <w:gridCol w:w="4759"/>
            </w:tblGrid>
            <w:tr w14:paraId="7D72D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490D3BFB">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名称</w:t>
                  </w:r>
                </w:p>
              </w:tc>
              <w:tc>
                <w:tcPr>
                  <w:tcW w:w="4759" w:type="dxa"/>
                  <w:vAlign w:val="center"/>
                </w:tcPr>
                <w:p w14:paraId="43EC768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功能</w:t>
                  </w:r>
                </w:p>
              </w:tc>
            </w:tr>
            <w:tr w14:paraId="1FFD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0B00AFCD">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维生素B1</w:t>
                  </w:r>
                </w:p>
              </w:tc>
              <w:tc>
                <w:tcPr>
                  <w:tcW w:w="4759" w:type="dxa"/>
                  <w:vAlign w:val="center"/>
                </w:tcPr>
                <w:p w14:paraId="59CDF70E">
                  <w:pPr>
                    <w:keepNext w:val="0"/>
                    <w:keepLines w:val="0"/>
                    <w:numPr>
                      <w:ilvl w:val="0"/>
                      <w:numId w:val="4"/>
                    </w:numPr>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构成辅酶 2.促进胃肠蠕动</w:t>
                  </w:r>
                </w:p>
                <w:p w14:paraId="0193EC11">
                  <w:pPr>
                    <w:keepNext w:val="0"/>
                    <w:keepLines w:val="0"/>
                    <w:numPr>
                      <w:ilvl w:val="0"/>
                      <w:numId w:val="0"/>
                    </w:numPr>
                    <w:suppressLineNumbers w:val="0"/>
                    <w:spacing w:before="0" w:beforeAutospacing="0" w:after="0" w:afterAutospacing="0" w:line="360" w:lineRule="auto"/>
                    <w:ind w:left="0" w:right="0" w:rightChars="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3.维持神经系统功能</w:t>
                  </w:r>
                </w:p>
              </w:tc>
            </w:tr>
            <w:tr w14:paraId="65F09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4B2F114B">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维生素B2</w:t>
                  </w:r>
                </w:p>
              </w:tc>
              <w:tc>
                <w:tcPr>
                  <w:tcW w:w="4759" w:type="dxa"/>
                  <w:vAlign w:val="center"/>
                </w:tcPr>
                <w:p w14:paraId="5118DBF7">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构成辅酶参与代谢</w:t>
                  </w:r>
                </w:p>
              </w:tc>
            </w:tr>
            <w:tr w14:paraId="4825C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159C6F4E">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维生素PP</w:t>
                  </w:r>
                </w:p>
              </w:tc>
              <w:tc>
                <w:tcPr>
                  <w:tcW w:w="4759" w:type="dxa"/>
                  <w:vAlign w:val="center"/>
                </w:tcPr>
                <w:p w14:paraId="55CAF5A4">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参与能量代谢和物质代谢</w:t>
                  </w:r>
                </w:p>
              </w:tc>
            </w:tr>
            <w:tr w14:paraId="7F791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7" w:type="dxa"/>
                  <w:vAlign w:val="center"/>
                </w:tcPr>
                <w:p w14:paraId="08A263C6">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维生素B6</w:t>
                  </w:r>
                </w:p>
              </w:tc>
              <w:tc>
                <w:tcPr>
                  <w:tcW w:w="4759" w:type="dxa"/>
                  <w:vAlign w:val="center"/>
                </w:tcPr>
                <w:p w14:paraId="051E8EFF">
                  <w:pPr>
                    <w:keepNext w:val="0"/>
                    <w:keepLines w:val="0"/>
                    <w:numPr>
                      <w:ilvl w:val="0"/>
                      <w:numId w:val="5"/>
                    </w:numPr>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参与物质代谢 2.缓解呕吐</w:t>
                  </w:r>
                </w:p>
                <w:p w14:paraId="27E2206C">
                  <w:pPr>
                    <w:keepNext w:val="0"/>
                    <w:keepLines w:val="0"/>
                    <w:numPr>
                      <w:ilvl w:val="0"/>
                      <w:numId w:val="0"/>
                    </w:numPr>
                    <w:suppressLineNumbers w:val="0"/>
                    <w:spacing w:before="0" w:beforeAutospacing="0" w:after="0" w:afterAutospacing="0" w:line="360" w:lineRule="auto"/>
                    <w:ind w:left="0" w:right="0" w:rightChars="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3.参与血红蛋白合成</w:t>
                  </w:r>
                </w:p>
              </w:tc>
            </w:tr>
            <w:tr w14:paraId="518D4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7B8F86DC">
                  <w:pPr>
                    <w:keepNext w:val="0"/>
                    <w:keepLines w:val="0"/>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叶酸</w:t>
                  </w:r>
                </w:p>
              </w:tc>
              <w:tc>
                <w:tcPr>
                  <w:tcW w:w="4759" w:type="dxa"/>
                  <w:vAlign w:val="center"/>
                </w:tcPr>
                <w:p w14:paraId="2D360351">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参与一碳单位的转移</w:t>
                  </w:r>
                </w:p>
              </w:tc>
            </w:tr>
            <w:tr w14:paraId="5900E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459EA730">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维生素B12</w:t>
                  </w:r>
                </w:p>
              </w:tc>
              <w:tc>
                <w:tcPr>
                  <w:tcW w:w="4759" w:type="dxa"/>
                  <w:vAlign w:val="center"/>
                </w:tcPr>
                <w:p w14:paraId="08502BE0">
                  <w:pPr>
                    <w:keepNext w:val="0"/>
                    <w:keepLines w:val="0"/>
                    <w:suppressLineNumbers w:val="0"/>
                    <w:spacing w:before="0" w:beforeAutospacing="0" w:after="0" w:afterAutospacing="0" w:line="360" w:lineRule="auto"/>
                    <w:ind w:left="0" w:right="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1.参与物质代谢 2.促进血红素合成</w:t>
                  </w:r>
                </w:p>
              </w:tc>
            </w:tr>
            <w:tr w14:paraId="1EF11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04F5C6F6">
                  <w:pPr>
                    <w:keepNext w:val="0"/>
                    <w:keepLines w:val="0"/>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泛酸</w:t>
                  </w:r>
                </w:p>
              </w:tc>
              <w:tc>
                <w:tcPr>
                  <w:tcW w:w="4759" w:type="dxa"/>
                  <w:vAlign w:val="center"/>
                </w:tcPr>
                <w:p w14:paraId="37C486C1">
                  <w:pPr>
                    <w:keepNext w:val="0"/>
                    <w:keepLines w:val="0"/>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参与糖、脂质、蛋白质代谢及肝的生物转化作用</w:t>
                  </w:r>
                </w:p>
              </w:tc>
            </w:tr>
            <w:tr w14:paraId="76BA5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07" w:type="dxa"/>
                  <w:vAlign w:val="center"/>
                </w:tcPr>
                <w:p w14:paraId="656A3762">
                  <w:pPr>
                    <w:keepNext w:val="0"/>
                    <w:keepLines w:val="0"/>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生物素</w:t>
                  </w:r>
                </w:p>
              </w:tc>
              <w:tc>
                <w:tcPr>
                  <w:tcW w:w="4759" w:type="dxa"/>
                  <w:vAlign w:val="center"/>
                </w:tcPr>
                <w:p w14:paraId="75D442F4">
                  <w:pPr>
                    <w:keepNext w:val="0"/>
                    <w:keepLines w:val="0"/>
                    <w:suppressLineNumbers w:val="0"/>
                    <w:spacing w:before="0" w:beforeAutospacing="0" w:after="0" w:afterAutospacing="0" w:line="360" w:lineRule="auto"/>
                    <w:ind w:left="0" w:right="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1.物质代谢 2.</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细胞信号转导和基因表达</w:t>
                  </w:r>
                </w:p>
              </w:tc>
            </w:tr>
          </w:tbl>
          <w:p w14:paraId="4D7B3CE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2..老年人B族维生素的需求及参考值</w:t>
            </w:r>
          </w:p>
          <w:p w14:paraId="6ECB9B3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维生素B1：</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中国成</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年</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男性</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（包括老年人）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平均需要量为1.2mg/d，成人女性</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（包括老年人）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为1.0mg/d。</w:t>
            </w:r>
          </w:p>
          <w:p w14:paraId="2725076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维生素B2：</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中国成人男性</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（包括老年人）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平均需要量为1.</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mg/d，成人女性</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（包括老年人）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为1.</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0</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mg/d。</w:t>
            </w:r>
          </w:p>
          <w:p w14:paraId="07C72875">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烟酸：</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中国成人男性</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（包括老年人）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平均需要量为12mg/d的烟酸当量，成人女性</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（包括老年人）</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为10mg/d烟酸当量。</w:t>
            </w:r>
          </w:p>
          <w:p w14:paraId="0AB4570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泛酸：</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中国居民膳食泛酸的适宜摄入量是5.0mg/d。</w:t>
            </w:r>
          </w:p>
          <w:p w14:paraId="34F8CF8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维生素B6：</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中国居民膳食平均需要量是1.</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mg/d。</w:t>
            </w:r>
          </w:p>
          <w:p w14:paraId="2A764FB7">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生物素：</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中国居民膳食生物素的适宜摄入量是40</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/d</w:t>
            </w:r>
          </w:p>
          <w:p w14:paraId="2FD18CF3">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叶酸：</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中国居民膳食平均需要量是320μg/d的叶酸当量。</w:t>
            </w:r>
          </w:p>
          <w:p w14:paraId="6D53A84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en-US" w:eastAsia="zh-CN"/>
                <w14:textFill>
                  <w14:solidFill>
                    <w14:schemeClr w14:val="tx1"/>
                  </w14:solidFill>
                </w14:textFill>
              </w:rPr>
              <w:t>维生素B12：</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中国居民膳食平均需要量是2.0</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/d。</w:t>
            </w:r>
          </w:p>
          <w:p w14:paraId="5466C7C7">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维生素C</w:t>
            </w:r>
          </w:p>
          <w:p w14:paraId="7DBEF8B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1.维生素C对老年人的作用</w:t>
            </w:r>
          </w:p>
          <w:p w14:paraId="6667E3F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抗氧化作用：维生素C是一种强大的抗氧化剂，能够保护身体免受自由基的损害，这些自由基可能会导致细胞损伤和加速衰老过程。</w:t>
            </w:r>
          </w:p>
          <w:p w14:paraId="06E6FA4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促进胶原合成：维生素C对于胶原蛋白的合成至关重要。</w:t>
            </w:r>
          </w:p>
          <w:p w14:paraId="275A5846">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增强免疫功能：维生素C有助于增强免疫系统的功能，提高身体对感染的抵抗力。</w:t>
            </w:r>
          </w:p>
          <w:p w14:paraId="21F8D56B">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促进铁的吸收：维生素C能够提高非血红素铁（主要存在于植物性食品中）的吸收率，对于预防贫血有积极作用。</w:t>
            </w:r>
          </w:p>
          <w:p w14:paraId="6D195AE9">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（5）</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保护牙齿和牙龈健康：维生素C有助于维持牙龈健康，缺乏维生素C可能导致牙龈出血和牙齿松动。</w:t>
            </w:r>
          </w:p>
          <w:p w14:paraId="0B1D1B70">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（6）</w:t>
            </w:r>
            <w:r>
              <w:rPr>
                <w:rFonts w:hint="default" w:ascii="Times New Roman" w:hAnsi="Times New Roman" w:cs="Times New Roman"/>
                <w:b w:val="0"/>
                <w:bCs/>
                <w:color w:val="000000" w:themeColor="text1"/>
                <w:sz w:val="24"/>
                <w:szCs w:val="24"/>
                <w:lang w:val="en-US" w:eastAsia="zh-CN"/>
                <w14:textFill>
                  <w14:solidFill>
                    <w14:schemeClr w14:val="tx1"/>
                  </w14:solidFill>
                </w14:textFill>
              </w:rPr>
              <w:t>抗癌作用：一些研究表明，维生素C可能有助于预防某些类型的癌症。</w:t>
            </w:r>
          </w:p>
          <w:p w14:paraId="3DB21422">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7</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促进胆固醇代谢：胆固醇转化为胆汁酸的过程中需要维生素C的参与。维生素C缺乏时</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胆固醇转化为胆汁酸的过程受限，血胆固醇升高，容易引起动脉粥样硬化。</w:t>
            </w:r>
          </w:p>
          <w:p w14:paraId="54D5E05F">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eastAsia" w:ascii="Times New Roman" w:hAnsi="Times New Roman" w:cs="Times New Roman"/>
                <w:b w:val="0"/>
                <w:bCs/>
                <w:color w:val="000000" w:themeColor="text1"/>
                <w:sz w:val="24"/>
                <w:szCs w:val="24"/>
                <w:lang w:val="en-US" w:eastAsia="zh-CN"/>
                <w14:textFill>
                  <w14:solidFill>
                    <w14:schemeClr w14:val="tx1"/>
                  </w14:solidFill>
                </w14:textFill>
              </w:rPr>
              <w:t>8</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w:t>
            </w:r>
            <w:r>
              <w:rPr>
                <w:rFonts w:hint="default" w:ascii="Times New Roman" w:hAnsi="Times New Roman" w:cs="Times New Roman"/>
                <w:b w:val="0"/>
                <w:bCs/>
                <w:color w:val="000000" w:themeColor="text1"/>
                <w:sz w:val="24"/>
                <w:szCs w:val="24"/>
                <w:lang w:val="zh-CN" w:eastAsia="zh-CN"/>
                <w14:textFill>
                  <w14:solidFill>
                    <w14:schemeClr w14:val="tx1"/>
                  </w14:solidFill>
                </w14:textFill>
              </w:rPr>
              <w:t>促进药物或毒物代谢：维生素C能使反应酶的活性升高，加快药物或毒物的解</w:t>
            </w:r>
            <w:r>
              <w:rPr>
                <w:rFonts w:hint="eastAsia" w:ascii="Times New Roman" w:hAnsi="Times New Roman" w:cs="Times New Roman"/>
                <w:b w:val="0"/>
                <w:bCs/>
                <w:color w:val="000000" w:themeColor="text1"/>
                <w:sz w:val="24"/>
                <w:szCs w:val="24"/>
                <w:lang w:val="zh-CN" w:eastAsia="zh-CN"/>
                <w14:textFill>
                  <w14:solidFill>
                    <w14:schemeClr w14:val="tx1"/>
                  </w14:solidFill>
                </w14:textFill>
              </w:rPr>
              <w:t>毒作用。</w:t>
            </w:r>
          </w:p>
          <w:p w14:paraId="7C126C7C">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2.老年人维生素C的需求及注意事项</w:t>
            </w:r>
          </w:p>
          <w:p w14:paraId="1A48BB81">
            <w:pPr>
              <w:keepNext w:val="0"/>
              <w:keepLines w:val="0"/>
              <w:suppressLineNumbers w:val="0"/>
              <w:spacing w:before="0" w:beforeAutospacing="0" w:after="0" w:afterAutospacing="0" w:line="360" w:lineRule="auto"/>
              <w:ind w:left="0" w:right="0" w:firstLine="480" w:firstLineChars="200"/>
              <w:rPr>
                <w:rFonts w:hint="default" w:ascii="Times New Roman" w:hAnsi="Times New Roman" w:cs="Times New Roman"/>
                <w:b w:val="0"/>
                <w:bCs/>
                <w:color w:val="000000" w:themeColor="text1"/>
                <w:sz w:val="24"/>
                <w:szCs w:val="24"/>
                <w:lang w:val="zh-CN" w:eastAsia="zh-CN"/>
                <w14:textFill>
                  <w14:solidFill>
                    <w14:schemeClr w14:val="tx1"/>
                  </w14:solidFill>
                </w14:textFill>
              </w:rPr>
            </w:pPr>
            <w:r>
              <w:rPr>
                <w:rFonts w:hint="default" w:ascii="Times New Roman" w:hAnsi="Times New Roman" w:cs="Times New Roman"/>
                <w:b w:val="0"/>
                <w:bCs/>
                <w:color w:val="000000" w:themeColor="text1"/>
                <w:sz w:val="24"/>
                <w:szCs w:val="24"/>
                <w:lang w:val="zh-CN" w:eastAsia="zh-CN"/>
                <w14:textFill>
                  <w14:solidFill>
                    <w14:schemeClr w14:val="tx1"/>
                  </w14:solidFill>
                </w14:textFill>
              </w:rPr>
              <w:t>中国居民膳食维生素C的平均需要量是85mg/d。</w:t>
            </w:r>
          </w:p>
          <w:p w14:paraId="574538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三、膳食纤维的概述</w:t>
            </w:r>
          </w:p>
          <w:p w14:paraId="1CC39592">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膳食纤维是指不易被人体消化吸收的碳水化合物，包括纤维素、半纤维素、树胶、β-葡聚糖、胶质、木质素、葡聚糖、果聚糖等。</w:t>
            </w:r>
          </w:p>
          <w:p w14:paraId="471740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四、膳食纤维对老年人的作用</w:t>
            </w:r>
          </w:p>
          <w:p w14:paraId="31C7795C">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1.增强肠蠕动功能，有利于排便：大多数纤维素能促进肠蠕动，使肠肌肉保持健康和张力，还使粪便含水较多而体积增加和变软，有利于粪便排出。</w:t>
            </w:r>
          </w:p>
          <w:p w14:paraId="36B1DD03">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2.控制体重和减肥：膳食纤维，特别是可溶性纤维，可减缓食物由胃进入肠内的速度和吸水作用，从而产生饱腹感而减少能量摄入，达到控制体重和减肥作用的目的。</w:t>
            </w:r>
          </w:p>
          <w:p w14:paraId="4543ACA8">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3.降低血糖和血胆固醇：大多数可溶性膳食纤维可降低血浆胆固醇水平。可溶性纤维可减少小肠对糖的吸收，使血糖不至于因为进食而快速升高。</w:t>
            </w:r>
          </w:p>
          <w:p w14:paraId="18694984">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4.膳食纤维具有预防结肠癌的作用：一定程度上，膳食纤维可预防结肠癌。</w:t>
            </w:r>
          </w:p>
          <w:p w14:paraId="02A5DB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五、老年人膳食纤维需求量</w:t>
            </w:r>
          </w:p>
          <w:p w14:paraId="35B5003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cs="Times New Roman"/>
                <w:b w:val="0"/>
                <w:bCs/>
                <w:color w:val="000000" w:themeColor="text1"/>
                <w:sz w:val="24"/>
                <w:szCs w:val="24"/>
                <w:lang w:val="en-US" w:eastAsia="zh-CN"/>
                <w14:textFill>
                  <w14:solidFill>
                    <w14:schemeClr w14:val="tx1"/>
                  </w14:solidFill>
                </w14:textFill>
              </w:rPr>
            </w:pPr>
            <w:r>
              <w:rPr>
                <w:rFonts w:hint="eastAsia" w:ascii="Times New Roman" w:hAnsi="Times New Roman" w:cs="Times New Roman"/>
                <w:b w:val="0"/>
                <w:bCs/>
                <w:color w:val="000000" w:themeColor="text1"/>
                <w:sz w:val="24"/>
                <w:szCs w:val="24"/>
                <w:lang w:val="en-US" w:eastAsia="zh-CN"/>
                <w14:textFill>
                  <w14:solidFill>
                    <w14:schemeClr w14:val="tx1"/>
                  </w14:solidFill>
                </w14:textFill>
              </w:rPr>
              <w:t>中国营养学会则提出膳食纤维参考值低能量饮食1800kcal为25g/g，中等能量饮食2400kcal为30g/d，高能量饮食2800kcal为35g/d。</w:t>
            </w:r>
          </w:p>
          <w:p w14:paraId="7665A436">
            <w:pPr>
              <w:keepNext w:val="0"/>
              <w:keepLines w:val="0"/>
              <w:pageBreakBefore w:val="0"/>
              <w:widowControl w:val="0"/>
              <w:numPr>
                <w:ilvl w:val="0"/>
                <w:numId w:val="6"/>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eastAsia" w:ascii="Times New Roman" w:hAnsi="Times New Roman" w:cs="Times New Roman"/>
                <w:b/>
                <w:bCs w:val="0"/>
                <w:color w:val="000000" w:themeColor="text1"/>
                <w:sz w:val="24"/>
                <w:szCs w:val="24"/>
                <w:lang w:val="en-US" w:eastAsia="zh-CN"/>
                <w14:textFill>
                  <w14:solidFill>
                    <w14:schemeClr w14:val="tx1"/>
                  </w14:solidFill>
                </w14:textFill>
              </w:rPr>
              <w:t>Freid衰弱评估</w:t>
            </w:r>
          </w:p>
          <w:p w14:paraId="68D573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cs="Times New Roman"/>
                <w:b/>
                <w:bCs w:val="0"/>
                <w:color w:val="000000" w:themeColor="text1"/>
                <w:sz w:val="24"/>
                <w:szCs w:val="24"/>
                <w:lang w:val="en-US" w:eastAsia="zh-CN"/>
                <w14:textFill>
                  <w14:solidFill>
                    <w14:schemeClr w14:val="tx1"/>
                  </w14:solidFill>
                </w14:textFill>
              </w:rPr>
            </w:pPr>
            <w:r>
              <w:rPr>
                <w:rFonts w:hint="default"/>
              </w:rPr>
              <w:drawing>
                <wp:inline distT="0" distB="0" distL="114300" distR="114300">
                  <wp:extent cx="4438650" cy="2762250"/>
                  <wp:effectExtent l="0" t="0" r="11430" b="1143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6"/>
                          <a:stretch>
                            <a:fillRect/>
                          </a:stretch>
                        </pic:blipFill>
                        <pic:spPr>
                          <a:xfrm>
                            <a:off x="0" y="0"/>
                            <a:ext cx="4438650" cy="2762250"/>
                          </a:xfrm>
                          <a:prstGeom prst="rect">
                            <a:avLst/>
                          </a:prstGeom>
                          <a:noFill/>
                          <a:ln>
                            <a:noFill/>
                          </a:ln>
                        </pic:spPr>
                      </pic:pic>
                    </a:graphicData>
                  </a:graphic>
                </wp:inline>
              </w:drawing>
            </w:r>
          </w:p>
          <w:p w14:paraId="7E3929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4"/>
                <w:szCs w:val="24"/>
                <w:lang w:val="en-US" w:eastAsia="zh-CN" w:bidi="ar"/>
              </w:rPr>
            </w:pPr>
            <w:r>
              <w:rPr>
                <w:rFonts w:hint="eastAsia" w:ascii="宋体" w:hAnsi="宋体" w:eastAsia="宋体" w:cs="宋体"/>
                <w:b/>
                <w:bCs/>
                <w:color w:val="538135"/>
                <w:kern w:val="2"/>
                <w:sz w:val="24"/>
                <w:szCs w:val="24"/>
                <w:lang w:val="en-US" w:eastAsia="zh-CN" w:bidi="ar"/>
              </w:rPr>
              <w:t>【学生】</w:t>
            </w:r>
            <w:r>
              <w:rPr>
                <w:rFonts w:hint="eastAsia" w:ascii="宋体" w:hAnsi="宋体" w:eastAsia="宋体" w:cs="宋体"/>
                <w:color w:val="538135"/>
                <w:kern w:val="2"/>
                <w:sz w:val="24"/>
                <w:szCs w:val="24"/>
                <w:lang w:val="en-US" w:eastAsia="zh-CN" w:bidi="ar"/>
              </w:rPr>
              <w:t>思考、讨论。</w:t>
            </w:r>
          </w:p>
        </w:tc>
        <w:tc>
          <w:tcPr>
            <w:tcW w:w="1366" w:type="dxa"/>
            <w:tcBorders>
              <w:tl2br w:val="nil"/>
              <w:tr2bl w:val="nil"/>
            </w:tcBorders>
            <w:vAlign w:val="top"/>
          </w:tcPr>
          <w:p w14:paraId="3417B239">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b/>
                <w:sz w:val="24"/>
                <w:szCs w:val="24"/>
              </w:rPr>
              <w:t>教师通过</w:t>
            </w:r>
            <w:r>
              <w:rPr>
                <w:rFonts w:hint="eastAsia" w:ascii="Times New Roman" w:hAnsi="Times New Roman"/>
                <w:b/>
                <w:sz w:val="24"/>
                <w:szCs w:val="24"/>
                <w:lang w:eastAsia="zh-CN"/>
              </w:rPr>
              <w:t>讲解</w:t>
            </w:r>
            <w:r>
              <w:rPr>
                <w:rFonts w:hint="eastAsia" w:ascii="Times New Roman" w:hAnsi="Times New Roman"/>
                <w:b/>
                <w:sz w:val="24"/>
                <w:szCs w:val="24"/>
              </w:rPr>
              <w:t>，</w:t>
            </w:r>
            <w:r>
              <w:rPr>
                <w:rFonts w:hint="eastAsia" w:ascii="Times New Roman" w:hAnsi="Times New Roman"/>
                <w:b/>
                <w:sz w:val="24"/>
                <w:szCs w:val="24"/>
                <w:lang w:eastAsia="zh-CN"/>
              </w:rPr>
              <w:t>让</w:t>
            </w:r>
            <w:r>
              <w:rPr>
                <w:rFonts w:hint="eastAsia" w:ascii="Times New Roman" w:hAnsi="Times New Roman"/>
                <w:b/>
                <w:sz w:val="24"/>
                <w:szCs w:val="24"/>
              </w:rPr>
              <w:t>学生</w:t>
            </w:r>
            <w:r>
              <w:rPr>
                <w:rFonts w:hint="eastAsia" w:ascii="Times New Roman" w:hAnsi="Times New Roman"/>
                <w:b/>
                <w:sz w:val="24"/>
                <w:szCs w:val="24"/>
                <w:lang w:eastAsia="zh-CN"/>
              </w:rPr>
              <w:t>掌握老年人维生素和膳食纤维的基础</w:t>
            </w:r>
            <w:r>
              <w:rPr>
                <w:rFonts w:hint="eastAsia" w:ascii="Times New Roman" w:hAnsi="Times New Roman"/>
                <w:b/>
                <w:sz w:val="24"/>
                <w:szCs w:val="24"/>
              </w:rPr>
              <w:t>知识</w:t>
            </w:r>
            <w:r>
              <w:rPr>
                <w:rFonts w:hint="eastAsia" w:ascii="Times New Roman" w:hAnsi="Times New Roman"/>
                <w:b/>
                <w:sz w:val="24"/>
                <w:szCs w:val="24"/>
                <w:lang w:eastAsia="zh-CN"/>
              </w:rPr>
              <w:t>和</w:t>
            </w:r>
            <w:r>
              <w:rPr>
                <w:rFonts w:hint="eastAsia" w:ascii="Times New Roman" w:hAnsi="Times New Roman" w:cs="Times New Roman"/>
                <w:b/>
                <w:sz w:val="24"/>
                <w:szCs w:val="24"/>
                <w:lang w:val="en-US" w:eastAsia="zh-CN"/>
              </w:rPr>
              <w:t>Freid衰弱</w:t>
            </w:r>
            <w:r>
              <w:rPr>
                <w:rFonts w:hint="eastAsia" w:ascii="Times New Roman" w:hAnsi="Times New Roman"/>
                <w:b/>
                <w:sz w:val="24"/>
                <w:szCs w:val="24"/>
                <w:lang w:eastAsia="zh-CN"/>
              </w:rPr>
              <w:t>评估操作</w:t>
            </w:r>
            <w:r>
              <w:rPr>
                <w:rFonts w:hint="eastAsia" w:ascii="Times New Roman" w:hAnsi="Times New Roman"/>
                <w:b/>
                <w:sz w:val="24"/>
                <w:szCs w:val="24"/>
              </w:rPr>
              <w:t>。</w:t>
            </w:r>
          </w:p>
        </w:tc>
      </w:tr>
      <w:tr w14:paraId="00A11FC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3C947B9D">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0B7041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3min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64CF925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E8D2A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cs="宋体"/>
                <w:b/>
                <w:bCs w:val="0"/>
                <w:kern w:val="2"/>
                <w:sz w:val="24"/>
                <w:szCs w:val="24"/>
                <w:lang w:val="en-US" w:eastAsia="zh-CN" w:bidi="ar"/>
              </w:rPr>
              <w:t>老年人维生素和膳食纤维的需求，学习了</w:t>
            </w:r>
            <w:r>
              <w:rPr>
                <w:rFonts w:hint="eastAsia" w:ascii="Times New Roman" w:hAnsi="Times New Roman" w:cs="Times New Roman"/>
                <w:b/>
                <w:bCs w:val="0"/>
                <w:color w:val="000000" w:themeColor="text1"/>
                <w:sz w:val="24"/>
                <w:szCs w:val="24"/>
                <w:lang w:val="en-US" w:eastAsia="zh-CN"/>
                <w14:textFill>
                  <w14:solidFill>
                    <w14:schemeClr w14:val="tx1"/>
                  </w14:solidFill>
                </w14:textFill>
              </w:rPr>
              <w:t>Freid衰弱评估操作</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04E37D9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119492F">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73A99FF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4"/>
                <w:szCs w:val="24"/>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4"/>
                <w:szCs w:val="24"/>
                <w:lang w:val="en-US" w:eastAsia="zh-CN" w:bidi="ar"/>
              </w:rPr>
              <w:t>（</w:t>
            </w:r>
            <w:r>
              <w:rPr>
                <w:rFonts w:hint="default" w:ascii="Times New Roman" w:hAnsi="Times New Roman" w:eastAsia="宋体" w:cs="Times New Roman"/>
                <w:kern w:val="2"/>
                <w:sz w:val="24"/>
                <w:szCs w:val="24"/>
                <w:lang w:val="en-US" w:eastAsia="zh-CN" w:bidi="ar"/>
              </w:rPr>
              <w:t>2min</w:t>
            </w:r>
            <w:r>
              <w:rPr>
                <w:rFonts w:hint="eastAsia" w:ascii="宋体" w:hAnsi="宋体" w:eastAsia="宋体" w:cs="宋体"/>
                <w:kern w:val="2"/>
                <w:sz w:val="24"/>
                <w:szCs w:val="24"/>
                <w:lang w:val="en-US" w:eastAsia="zh-CN" w:bidi="ar"/>
              </w:rPr>
              <w:t>）</w:t>
            </w:r>
          </w:p>
        </w:tc>
        <w:tc>
          <w:tcPr>
            <w:tcW w:w="5807" w:type="dxa"/>
            <w:tcBorders>
              <w:tl2br w:val="nil"/>
              <w:tr2bl w:val="nil"/>
            </w:tcBorders>
            <w:vAlign w:val="center"/>
          </w:tcPr>
          <w:p w14:paraId="429D989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布置课后作业</w:t>
            </w:r>
          </w:p>
          <w:p w14:paraId="01415C58">
            <w:pPr>
              <w:keepNext w:val="0"/>
              <w:keepLines w:val="0"/>
              <w:widowControl w:val="0"/>
              <w:suppressLineNumbers w:val="0"/>
              <w:spacing w:before="0" w:beforeAutospacing="0" w:after="0" w:afterAutospacing="0" w:line="360" w:lineRule="auto"/>
              <w:ind w:left="0" w:right="0" w:rightChars="0"/>
              <w:jc w:val="both"/>
              <w:rPr>
                <w:rFonts w:hint="eastAsia" w:ascii="Times New Roman" w:hAnsi="Times New Roman" w:eastAsia="宋体" w:cs="Times New Roman"/>
                <w:b/>
                <w:bCs w:val="0"/>
                <w:kern w:val="2"/>
                <w:sz w:val="24"/>
                <w:szCs w:val="24"/>
                <w:lang w:val="en-US" w:eastAsia="zh-CN" w:bidi="ar-SA"/>
              </w:rPr>
            </w:pPr>
            <w:r>
              <w:rPr>
                <w:rFonts w:hint="eastAsia" w:ascii="宋体" w:hAnsi="宋体" w:cs="宋体"/>
                <w:b/>
                <w:bCs w:val="0"/>
                <w:kern w:val="2"/>
                <w:sz w:val="24"/>
                <w:szCs w:val="24"/>
                <w:lang w:val="en-US" w:eastAsia="zh-CN" w:bidi="ar"/>
              </w:rPr>
              <w:t>简述膳食纤维对老年人的作用，进行</w:t>
            </w:r>
            <w:r>
              <w:rPr>
                <w:rFonts w:hint="eastAsia" w:ascii="Times New Roman" w:hAnsi="Times New Roman" w:cs="Times New Roman"/>
                <w:b/>
                <w:bCs w:val="0"/>
                <w:color w:val="000000" w:themeColor="text1"/>
                <w:sz w:val="24"/>
                <w:szCs w:val="24"/>
                <w:lang w:val="en-US" w:eastAsia="zh-CN"/>
                <w14:textFill>
                  <w14:solidFill>
                    <w14:schemeClr w14:val="tx1"/>
                  </w14:solidFill>
                </w14:textFill>
              </w:rPr>
              <w:t>Freid衰弱评估操作练习</w:t>
            </w:r>
            <w:r>
              <w:rPr>
                <w:rFonts w:hint="eastAsia" w:ascii="宋体" w:hAnsi="宋体" w:eastAsia="宋体" w:cs="宋体"/>
                <w:b/>
                <w:bCs w:val="0"/>
                <w:kern w:val="2"/>
                <w:sz w:val="24"/>
                <w:szCs w:val="24"/>
                <w:lang w:val="en-US" w:eastAsia="zh-CN" w:bidi="ar"/>
              </w:rPr>
              <w:t>。</w:t>
            </w:r>
          </w:p>
        </w:tc>
        <w:tc>
          <w:tcPr>
            <w:tcW w:w="1366" w:type="dxa"/>
            <w:tcBorders>
              <w:tl2br w:val="nil"/>
              <w:tr2bl w:val="nil"/>
            </w:tcBorders>
            <w:vAlign w:val="center"/>
          </w:tcPr>
          <w:p w14:paraId="76EB2C5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通过课后练习，使学生巩固所学新知识</w:t>
            </w:r>
          </w:p>
        </w:tc>
      </w:tr>
      <w:tr w14:paraId="77B8ADF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680" w:hRule="atLeast"/>
          <w:jc w:val="center"/>
        </w:trPr>
        <w:tc>
          <w:tcPr>
            <w:tcW w:w="1276" w:type="dxa"/>
            <w:tcBorders>
              <w:tl2br w:val="nil"/>
              <w:tr2bl w:val="nil"/>
            </w:tcBorders>
            <w:shd w:val="clear" w:color="auto" w:fill="F4EFFA"/>
            <w:vAlign w:val="center"/>
          </w:tcPr>
          <w:p w14:paraId="1E5B672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23B54B0">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default" w:ascii="Times New Roman" w:hAnsi="Times New Roman"/>
                <w:sz w:val="24"/>
                <w:szCs w:val="24"/>
              </w:rPr>
              <w:t>巧用启发思维，让</w:t>
            </w:r>
            <w:r>
              <w:rPr>
                <w:rFonts w:hint="eastAsia" w:ascii="Times New Roman" w:hAnsi="Times New Roman"/>
                <w:sz w:val="24"/>
                <w:szCs w:val="24"/>
                <w:lang w:val="en-US" w:eastAsia="zh-CN"/>
              </w:rPr>
              <w:t>学生</w:t>
            </w:r>
            <w:r>
              <w:rPr>
                <w:rFonts w:hint="default" w:ascii="Times New Roman" w:hAnsi="Times New Roman"/>
                <w:sz w:val="24"/>
                <w:szCs w:val="24"/>
              </w:rPr>
              <w:t>能体会到举一反三，做到有所领悟和创新，掌握一定的训练规律。</w:t>
            </w:r>
          </w:p>
        </w:tc>
      </w:tr>
    </w:tbl>
    <w:p w14:paraId="42A2997E"/>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Gulim">
    <w:panose1 w:val="020B0600000101010101"/>
    <w:charset w:val="81"/>
    <w:family w:val="auto"/>
    <w:pitch w:val="default"/>
    <w:sig w:usb0="B00002AF" w:usb1="69D77CFB" w:usb2="00000030" w:usb3="00000000" w:csb0="4008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-123190</wp:posOffset>
          </wp:positionH>
          <wp:positionV relativeFrom="paragraph">
            <wp:posOffset>-377190</wp:posOffset>
          </wp:positionV>
          <wp:extent cx="7583170" cy="10723880"/>
          <wp:effectExtent l="0" t="0" r="17780" b="1270"/>
          <wp:wrapNone/>
          <wp:docPr id="2" name="图片 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2"/>
                  <pic:cNvPicPr>
                    <a:picLocks noChangeAspect="1"/>
                  </pic:cNvPicPr>
                </pic:nvPicPr>
                <pic:blipFill>
                  <a:blip r:embed="rId1"/>
                  <a:stretch>
                    <a:fillRect/>
                  </a:stretch>
                </pic:blipFill>
                <pic:spPr>
                  <a:xfrm>
                    <a:off x="0" y="0"/>
                    <a:ext cx="7583170" cy="10723880"/>
                  </a:xfrm>
                  <a:prstGeom prst="rect">
                    <a:avLst/>
                  </a:prstGeom>
                </pic:spPr>
              </pic:pic>
            </a:graphicData>
          </a:graphic>
        </wp:anchor>
      </w:drawing>
    </w:r>
    <w:r>
      <w:rPr>
        <w:sz w:val="18"/>
      </w:rPr>
      <mc:AlternateContent>
        <mc:Choice Requires="wps">
          <w:drawing>
            <wp:anchor distT="0" distB="0" distL="114300" distR="114300" simplePos="0" relativeHeight="251660288" behindDoc="1"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97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6192;v-text-anchor:middle;mso-width-relative:page;mso-height-relative:page;" fillcolor="#FFFFFF [3212]" filled="t" stroked="t" coordsize="21600,21600" o:gfxdata="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Hy+&#10;RFnZAAAACQEAAA8AAAAAAAAAAQAgAAAAIgAAAGRycy9kb3ducmV2LnhtbFBLAQIUABQAAAAIAIdO&#10;4kBDdoqWlAIAAEIFAAAOAAAAAAAAAAEAIAAAACgBAABkcnMvZTJvRG9jLnhtbFBLBQYAAAAABgAG&#10;AFkBAAAuBgAAAAA=&#10;">
              <v:fill on="t" opacity="63569f" focussize="0,0"/>
              <v:stroke weight="1pt" color="#F2F2F2 [3052]" miterlimit="8" joinstyle="miter"/>
              <v:imagedata o:title=""/>
              <o:lock v:ext="edit" aspectratio="f"/>
            </v:rect>
          </w:pict>
        </mc:Fallback>
      </mc:AlternateContent>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-134620</wp:posOffset>
          </wp:positionH>
          <wp:positionV relativeFrom="paragraph">
            <wp:posOffset>-360045</wp:posOffset>
          </wp:positionV>
          <wp:extent cx="7632065" cy="10692130"/>
          <wp:effectExtent l="0" t="0" r="6985" b="13970"/>
          <wp:wrapNone/>
          <wp:docPr id="1" name="图片 1" descr="图片2"/>
          <wp:cNvGraphicFramePr/>
          <a:graphic xmlns:a="http://schemas.openxmlformats.org/drawingml/2006/main">
            <a:graphicData uri="http://schemas.openxmlformats.org/drawingml/2006/picture">
              <pic:pic xmlns:pic="http://schemas.openxmlformats.org/drawingml/2006/picture">
                <pic:nvPicPr>
                  <pic:cNvPr id="1" name="图片 1" descr="图片2"/>
                  <pic:cNvPicPr/>
                </pic:nvPicPr>
                <pic:blipFill>
                  <a:blip r:embed="rId1"/>
                  <a:stretch>
                    <a:fillRect/>
                  </a:stretch>
                </pic:blipFill>
                <pic:spPr>
                  <a:xfrm>
                    <a:off x="0" y="0"/>
                    <a:ext cx="7632065"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49ED5A"/>
    <w:multiLevelType w:val="singleLevel"/>
    <w:tmpl w:val="AD49ED5A"/>
    <w:lvl w:ilvl="0" w:tentative="0">
      <w:start w:val="1"/>
      <w:numFmt w:val="decimal"/>
      <w:suff w:val="space"/>
      <w:lvlText w:val="%1."/>
      <w:lvlJc w:val="left"/>
    </w:lvl>
  </w:abstractNum>
  <w:abstractNum w:abstractNumId="1">
    <w:nsid w:val="B09E08B0"/>
    <w:multiLevelType w:val="singleLevel"/>
    <w:tmpl w:val="B09E08B0"/>
    <w:lvl w:ilvl="0" w:tentative="0">
      <w:start w:val="6"/>
      <w:numFmt w:val="chineseCounting"/>
      <w:suff w:val="nothing"/>
      <w:lvlText w:val="%1、"/>
      <w:lvlJc w:val="left"/>
      <w:rPr>
        <w:rFonts w:hint="eastAsia"/>
      </w:rPr>
    </w:lvl>
  </w:abstractNum>
  <w:abstractNum w:abstractNumId="2">
    <w:nsid w:val="E4AF6604"/>
    <w:multiLevelType w:val="singleLevel"/>
    <w:tmpl w:val="E4AF6604"/>
    <w:lvl w:ilvl="0" w:tentative="0">
      <w:start w:val="1"/>
      <w:numFmt w:val="decimal"/>
      <w:lvlText w:val="%1."/>
      <w:lvlJc w:val="left"/>
      <w:pPr>
        <w:tabs>
          <w:tab w:val="left" w:pos="312"/>
        </w:tabs>
      </w:pPr>
    </w:lvl>
  </w:abstractNum>
  <w:abstractNum w:abstractNumId="3">
    <w:nsid w:val="EEA719B5"/>
    <w:multiLevelType w:val="singleLevel"/>
    <w:tmpl w:val="EEA719B5"/>
    <w:lvl w:ilvl="0" w:tentative="0">
      <w:start w:val="1"/>
      <w:numFmt w:val="decimal"/>
      <w:lvlText w:val="%1."/>
      <w:lvlJc w:val="left"/>
      <w:pPr>
        <w:tabs>
          <w:tab w:val="left" w:pos="312"/>
        </w:tabs>
      </w:pPr>
    </w:lvl>
  </w:abstractNum>
  <w:abstractNum w:abstractNumId="4">
    <w:nsid w:val="0C04D604"/>
    <w:multiLevelType w:val="singleLevel"/>
    <w:tmpl w:val="0C04D604"/>
    <w:lvl w:ilvl="0" w:tentative="0">
      <w:start w:val="1"/>
      <w:numFmt w:val="decimal"/>
      <w:suff w:val="space"/>
      <w:lvlText w:val="%1."/>
      <w:lvlJc w:val="left"/>
    </w:lvl>
  </w:abstractNum>
  <w:abstractNum w:abstractNumId="5">
    <w:nsid w:val="79F3D15C"/>
    <w:multiLevelType w:val="singleLevel"/>
    <w:tmpl w:val="79F3D15C"/>
    <w:lvl w:ilvl="0" w:tentative="0">
      <w:start w:val="1"/>
      <w:numFmt w:val="decimal"/>
      <w:suff w:val="space"/>
      <w:lvlText w:val="%1."/>
      <w:lvlJc w:val="left"/>
    </w:lvl>
  </w:abstractNum>
  <w:num w:numId="1">
    <w:abstractNumId w:val="5"/>
  </w:num>
  <w:num w:numId="2">
    <w:abstractNumId w:val="4"/>
  </w:num>
  <w:num w:numId="3">
    <w:abstractNumId w:val="0"/>
  </w:num>
  <w:num w:numId="4">
    <w:abstractNumId w:val="3"/>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90441B5"/>
    <w:rsid w:val="0AC91BFE"/>
    <w:rsid w:val="0B742BCE"/>
    <w:rsid w:val="0E3C75E8"/>
    <w:rsid w:val="103318A1"/>
    <w:rsid w:val="12D20E74"/>
    <w:rsid w:val="1FB84519"/>
    <w:rsid w:val="20F13C9B"/>
    <w:rsid w:val="21DF3F99"/>
    <w:rsid w:val="21ED3737"/>
    <w:rsid w:val="238347DF"/>
    <w:rsid w:val="24B477DD"/>
    <w:rsid w:val="278141AB"/>
    <w:rsid w:val="28B578A7"/>
    <w:rsid w:val="2FBD002D"/>
    <w:rsid w:val="322A12C5"/>
    <w:rsid w:val="34666CB7"/>
    <w:rsid w:val="34AD60CD"/>
    <w:rsid w:val="34B67F89"/>
    <w:rsid w:val="368D542E"/>
    <w:rsid w:val="388B134B"/>
    <w:rsid w:val="436C72A2"/>
    <w:rsid w:val="43CD7F64"/>
    <w:rsid w:val="445C077F"/>
    <w:rsid w:val="44B33A23"/>
    <w:rsid w:val="455C7A64"/>
    <w:rsid w:val="45C91BBA"/>
    <w:rsid w:val="45FE72BB"/>
    <w:rsid w:val="46404250"/>
    <w:rsid w:val="49F8701E"/>
    <w:rsid w:val="4A1A701D"/>
    <w:rsid w:val="4C7F0E23"/>
    <w:rsid w:val="4C956F44"/>
    <w:rsid w:val="5A7C6694"/>
    <w:rsid w:val="5B00729D"/>
    <w:rsid w:val="600E33E1"/>
    <w:rsid w:val="622A303A"/>
    <w:rsid w:val="723010AC"/>
    <w:rsid w:val="77C54DBF"/>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8787</Words>
  <Characters>9217</Characters>
  <Lines>1</Lines>
  <Paragraphs>1</Paragraphs>
  <TotalTime>5</TotalTime>
  <ScaleCrop>false</ScaleCrop>
  <LinksUpToDate>false</LinksUpToDate>
  <CharactersWithSpaces>9243</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嘟嘟</cp:lastModifiedBy>
  <dcterms:modified xsi:type="dcterms:W3CDTF">2025-09-01T06:59:46Z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D027E959A0284886BEA2E36D28D1A0C2_13</vt:lpwstr>
  </property>
  <property fmtid="{D5CDD505-2E9C-101B-9397-08002B2CF9AE}" pid="4" name="KSOTemplateDocerSaveRecord">
    <vt:lpwstr>eyJoZGlkIjoiNTRhMzg2OWJjMjI3MTg1NjMwMzY2YzM2YjFhZmRkZDkiLCJ1c2VySWQiOiI2NzMyNTM1ODMifQ==</vt:lpwstr>
  </property>
</Properties>
</file>